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D5D76C">
      <w:pPr>
        <w:outlineLvl w:val="9"/>
      </w:pPr>
      <w:r>
        <w:rPr>
          <w:sz w:val="21"/>
        </w:rPr>
        <mc:AlternateContent>
          <mc:Choice Requires="wps">
            <w:drawing>
              <wp:anchor distT="0" distB="0" distL="114300" distR="114300" simplePos="0" relativeHeight="251666432" behindDoc="0" locked="0" layoutInCell="1" allowOverlap="1">
                <wp:simplePos x="0" y="0"/>
                <wp:positionH relativeFrom="column">
                  <wp:posOffset>31750</wp:posOffset>
                </wp:positionH>
                <wp:positionV relativeFrom="paragraph">
                  <wp:posOffset>3519805</wp:posOffset>
                </wp:positionV>
                <wp:extent cx="7746365" cy="3853180"/>
                <wp:effectExtent l="0" t="0" r="6985" b="13970"/>
                <wp:wrapNone/>
                <wp:docPr id="28" name="任意多边形 27"/>
                <wp:cNvGraphicFramePr/>
                <a:graphic xmlns:a="http://schemas.openxmlformats.org/drawingml/2006/main">
                  <a:graphicData uri="http://schemas.microsoft.com/office/word/2010/wordprocessingShape">
                    <wps:wsp>
                      <wps:cNvSpPr/>
                      <wps:spPr>
                        <a:xfrm>
                          <a:off x="1270" y="3505835"/>
                          <a:ext cx="7746365" cy="3853180"/>
                        </a:xfrm>
                        <a:custGeom>
                          <a:avLst/>
                          <a:gdLst>
                            <a:gd name="connisteX0" fmla="*/ 1512384 w 8849438"/>
                            <a:gd name="connsiteY0" fmla="*/ 1553481 h 4005486"/>
                            <a:gd name="connisteX1" fmla="*/ 3546924 w 8849438"/>
                            <a:gd name="connsiteY1" fmla="*/ 1004841 h 4005486"/>
                            <a:gd name="connisteX2" fmla="*/ 7674424 w 8849438"/>
                            <a:gd name="connsiteY2" fmla="*/ 2650126 h 4005486"/>
                            <a:gd name="connisteX3" fmla="*/ 8771069 w 8849438"/>
                            <a:gd name="connsiteY3" fmla="*/ 2679336 h 4005486"/>
                            <a:gd name="connisteX4" fmla="*/ 8698679 w 8849438"/>
                            <a:gd name="connsiteY4" fmla="*/ 687341 h 4005486"/>
                            <a:gd name="connisteX5" fmla="*/ 8684074 w 8849438"/>
                            <a:gd name="connsiteY5" fmla="*/ 52341 h 4005486"/>
                            <a:gd name="connisteX6" fmla="*/ 8309424 w 8849438"/>
                            <a:gd name="connsiteY6" fmla="*/ 167911 h 4005486"/>
                            <a:gd name="connisteX7" fmla="*/ 7587429 w 8849438"/>
                            <a:gd name="connsiteY7" fmla="*/ 860696 h 4005486"/>
                            <a:gd name="connisteX8" fmla="*/ 5826574 w 8849438"/>
                            <a:gd name="connsiteY8" fmla="*/ 1510301 h 4005486"/>
                            <a:gd name="connisteX9" fmla="*/ 4874074 w 8849438"/>
                            <a:gd name="connsiteY9" fmla="*/ 1986551 h 4005486"/>
                            <a:gd name="connisteX10" fmla="*/ 3560894 w 8849438"/>
                            <a:gd name="connsiteY10" fmla="*/ 3328306 h 4005486"/>
                            <a:gd name="connisteX11" fmla="*/ 1238064 w 8849438"/>
                            <a:gd name="connsiteY11" fmla="*/ 3992516 h 4005486"/>
                            <a:gd name="connisteX12" fmla="*/ 11244 w 8849438"/>
                            <a:gd name="connsiteY12" fmla="*/ 3602626 h 4005486"/>
                            <a:gd name="connisteX13" fmla="*/ 733239 w 8849438"/>
                            <a:gd name="connsiteY13" fmla="*/ 2347231 h 4005486"/>
                            <a:gd name="connisteX14" fmla="*/ 1093919 w 8849438"/>
                            <a:gd name="connsiteY14" fmla="*/ 1654446 h 4005486"/>
                            <a:gd name="connisteX15" fmla="*/ 1339029 w 8849438"/>
                            <a:gd name="connsiteY15" fmla="*/ 1582056 h 4005486"/>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Lst>
                          <a:rect l="l" t="t" r="r" b="b"/>
                          <a:pathLst>
                            <a:path w="10898" h="6061">
                              <a:moveTo>
                                <a:pt x="2515" y="1315"/>
                              </a:moveTo>
                              <a:cubicBezTo>
                                <a:pt x="2754" y="1314"/>
                                <a:pt x="3016" y="1336"/>
                                <a:pt x="3304" y="1388"/>
                              </a:cubicBezTo>
                              <a:cubicBezTo>
                                <a:pt x="4153" y="1539"/>
                                <a:pt x="5188" y="1952"/>
                                <a:pt x="6222" y="2415"/>
                              </a:cubicBezTo>
                              <a:lnTo>
                                <a:pt x="6241" y="2423"/>
                              </a:lnTo>
                              <a:lnTo>
                                <a:pt x="6232" y="2426"/>
                              </a:lnTo>
                              <a:cubicBezTo>
                                <a:pt x="5980" y="2511"/>
                                <a:pt x="5840" y="2575"/>
                                <a:pt x="5394" y="2934"/>
                              </a:cubicBezTo>
                              <a:cubicBezTo>
                                <a:pt x="4680" y="3507"/>
                                <a:pt x="4471" y="4415"/>
                                <a:pt x="3326" y="5047"/>
                              </a:cubicBezTo>
                              <a:cubicBezTo>
                                <a:pt x="2324" y="5600"/>
                                <a:pt x="1131" y="5920"/>
                                <a:pt x="99" y="6049"/>
                              </a:cubicBezTo>
                              <a:lnTo>
                                <a:pt x="0" y="6061"/>
                              </a:lnTo>
                              <a:lnTo>
                                <a:pt x="0" y="2276"/>
                              </a:lnTo>
                              <a:lnTo>
                                <a:pt x="100" y="2252"/>
                              </a:lnTo>
                              <a:cubicBezTo>
                                <a:pt x="535" y="2060"/>
                                <a:pt x="1145" y="1318"/>
                                <a:pt x="2515" y="1315"/>
                              </a:cubicBezTo>
                              <a:close/>
                              <a:moveTo>
                                <a:pt x="10898" y="0"/>
                              </a:moveTo>
                              <a:lnTo>
                                <a:pt x="10898" y="4358"/>
                              </a:lnTo>
                              <a:lnTo>
                                <a:pt x="10884" y="4353"/>
                              </a:lnTo>
                              <a:cubicBezTo>
                                <a:pt x="10664" y="4276"/>
                                <a:pt x="10331" y="4147"/>
                                <a:pt x="9804" y="3979"/>
                              </a:cubicBezTo>
                              <a:cubicBezTo>
                                <a:pt x="8930" y="3699"/>
                                <a:pt x="7698" y="3082"/>
                                <a:pt x="6444" y="2514"/>
                              </a:cubicBezTo>
                              <a:lnTo>
                                <a:pt x="6241" y="2423"/>
                              </a:lnTo>
                              <a:lnTo>
                                <a:pt x="6251" y="2419"/>
                              </a:lnTo>
                              <a:cubicBezTo>
                                <a:pt x="6398" y="2370"/>
                                <a:pt x="6586" y="2311"/>
                                <a:pt x="6894" y="2184"/>
                              </a:cubicBezTo>
                              <a:cubicBezTo>
                                <a:pt x="7749" y="1829"/>
                                <a:pt x="8885" y="1584"/>
                                <a:pt x="9667" y="1161"/>
                              </a:cubicBezTo>
                              <a:cubicBezTo>
                                <a:pt x="10449" y="738"/>
                                <a:pt x="10459" y="325"/>
                                <a:pt x="10804" y="70"/>
                              </a:cubicBezTo>
                              <a:cubicBezTo>
                                <a:pt x="10832" y="49"/>
                                <a:pt x="10859" y="29"/>
                                <a:pt x="10884" y="10"/>
                              </a:cubicBezTo>
                              <a:lnTo>
                                <a:pt x="10898" y="0"/>
                              </a:lnTo>
                              <a:close/>
                            </a:path>
                          </a:pathLst>
                        </a:custGeom>
                        <a:solidFill>
                          <a:srgbClr val="FDBA74">
                            <a:alpha val="3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id="任意多边形 27" o:spid="_x0000_s1026" o:spt="100" style="position:absolute;left:0pt;margin-left:2.5pt;margin-top:277.15pt;height:303.4pt;width:609.95pt;z-index:251666432;v-text-anchor:middle;mso-width-relative:page;mso-height-relative:page;" fillcolor="#FDBA74" filled="t" stroked="f" coordsize="10898,6061" o:gfxdata="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4f9Xk9gAAAALAQAADwAAAAAAAAABACAAAAAi&#10;AAAAZHJzL2Rvd25yZXYueG1sUEsBAhQAFAAAAAgAh07iQCqLUH5FBgAADBYAAA4AAAAAAAAAAQAg&#10;AAAAJwEAAGRycy9lMm9Eb2MueG1sUEsFBgAAAAAGAAYAWQEAAN4JAAAAAA==&#10;" path="m2515,1315c2754,1314,3016,1336,3304,1388c4153,1539,5188,1952,6222,2415l6241,2423,6232,2426c5980,2511,5840,2575,5394,2934c4680,3507,4471,4415,3326,5047c2324,5600,1131,5920,99,6049l0,6061,0,2276,100,2252c535,2060,1145,1318,2515,1315xm10898,0l10898,4358,10884,4353c10664,4276,10331,4147,9804,3979c8930,3699,7698,3082,6444,2514l6241,2423,6251,2419c6398,2370,6586,2311,6894,2184c7749,1829,8885,1584,9667,1161c10449,738,10459,325,10804,70c10832,49,10859,29,10884,10l10898,0xe">
                <v:path o:connectlocs="1323866,1494410;3104803,966632;6717815,2549356;7677764,2577455;7614397,661205;7601613,50350;7273663,161526;6641664,827968;5100297,1452872;4266525,1911013;3117032,3201749;1083740,3840703;9842,3465638;641841,2257979;957563,1591536;1172120,1521899" o:connectangles="0,0,0,0,0,0,0,0,0,0,0,0,0,0,0,0"/>
                <v:fill on="t" opacity="25559f"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193675</wp:posOffset>
                </wp:positionH>
                <wp:positionV relativeFrom="paragraph">
                  <wp:posOffset>99695</wp:posOffset>
                </wp:positionV>
                <wp:extent cx="1191895" cy="720725"/>
                <wp:effectExtent l="0" t="0" r="8255" b="3175"/>
                <wp:wrapNone/>
                <wp:docPr id="1" name="文本框 1"/>
                <wp:cNvGraphicFramePr/>
                <a:graphic xmlns:a="http://schemas.openxmlformats.org/drawingml/2006/main">
                  <a:graphicData uri="http://schemas.microsoft.com/office/word/2010/wordprocessingShape">
                    <wps:wsp>
                      <wps:cNvSpPr txBox="1"/>
                      <wps:spPr>
                        <a:xfrm>
                          <a:off x="187325" y="201295"/>
                          <a:ext cx="1191895" cy="720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C29875">
                            <w:pPr>
                              <w:rPr>
                                <w:sz w:val="32"/>
                                <w:szCs w:val="40"/>
                              </w:rPr>
                            </w:pPr>
                            <w:r>
                              <w:rPr>
                                <w:rFonts w:hint="eastAsia" w:ascii="微软雅黑" w:hAnsi="微软雅黑" w:eastAsia="微软雅黑" w:cs="微软雅黑"/>
                                <w:b/>
                                <w:bCs/>
                                <w:color w:val="005893"/>
                                <w:sz w:val="52"/>
                                <w:szCs w:val="60"/>
                                <w:lang w:val="en-US" w:eastAsia="zh-CN"/>
                                <w14:glow w14:rad="0">
                                  <w14:srgbClr w14:val="000000"/>
                                </w14:gl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SAAT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pt;margin-top:7.85pt;height:56.75pt;width:93.85pt;z-index:251697152;mso-width-relative:page;mso-height-relative:page;" fillcolor="#FFFFFF [3201]" filled="t" stroked="f" coordsize="21600,21600" o:gfxdata="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XzK2TUAAAACQEA&#10;AA8AAAAAAAAAAQAgAAAAIgAAAGRycy9kb3ducmV2LnhtbFBLAQIUABQAAAAIAIdO4kDg7buxVwIA&#10;AJkEAAAOAAAAAAAAAAEAIAAAACMBAABkcnMvZTJvRG9jLnhtbFBLBQYAAAAABgAGAFkBAADsBQAA&#10;AAA=&#10;">
                <v:fill on="t" focussize="0,0"/>
                <v:stroke on="f" weight="0.5pt"/>
                <v:imagedata o:title=""/>
                <o:lock v:ext="edit" aspectratio="f"/>
                <v:textbox>
                  <w:txbxContent>
                    <w:p w14:paraId="37C29875">
                      <w:pPr>
                        <w:rPr>
                          <w:sz w:val="32"/>
                          <w:szCs w:val="40"/>
                        </w:rPr>
                      </w:pPr>
                      <w:r>
                        <w:rPr>
                          <w:rFonts w:hint="eastAsia" w:ascii="微软雅黑" w:hAnsi="微软雅黑" w:eastAsia="微软雅黑" w:cs="微软雅黑"/>
                          <w:b/>
                          <w:bCs/>
                          <w:color w:val="005893"/>
                          <w:sz w:val="52"/>
                          <w:szCs w:val="60"/>
                          <w:lang w:val="en-US" w:eastAsia="zh-CN"/>
                          <w14:glow w14:rad="0">
                            <w14:srgbClr w14:val="000000"/>
                          </w14:gl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SAAT</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2713355</wp:posOffset>
                </wp:positionH>
                <wp:positionV relativeFrom="paragraph">
                  <wp:posOffset>3297555</wp:posOffset>
                </wp:positionV>
                <wp:extent cx="2571115" cy="547370"/>
                <wp:effectExtent l="0" t="0" r="0" b="0"/>
                <wp:wrapNone/>
                <wp:docPr id="78" name="文本框 77"/>
                <wp:cNvGraphicFramePr/>
                <a:graphic xmlns:a="http://schemas.openxmlformats.org/drawingml/2006/main">
                  <a:graphicData uri="http://schemas.microsoft.com/office/word/2010/wordprocessingShape">
                    <wps:wsp>
                      <wps:cNvSpPr txBox="1"/>
                      <wps:spPr>
                        <a:xfrm>
                          <a:off x="2893695" y="3208020"/>
                          <a:ext cx="2571115" cy="547370"/>
                        </a:xfrm>
                        <a:prstGeom prst="rect">
                          <a:avLst/>
                        </a:prstGeom>
                        <a:noFill/>
                      </wps:spPr>
                      <wps:txbx>
                        <w:txbxContent>
                          <w:p w14:paraId="68B13260">
                            <w:pPr>
                              <w:rPr>
                                <w:rFonts w:hint="default" w:ascii="黑体" w:hAnsi="黑体" w:eastAsia="黑体" w:cs="黑体"/>
                                <w:color w:val="0D1022"/>
                                <w:kern w:val="24"/>
                                <w:sz w:val="44"/>
                                <w:szCs w:val="44"/>
                                <w:lang w:val="en-US" w:eastAsia="zh-CN"/>
                              </w:rPr>
                            </w:pPr>
                            <w:r>
                              <w:rPr>
                                <w:rFonts w:hint="eastAsia" w:ascii="黑体" w:hAnsi="黑体" w:eastAsia="黑体" w:cs="黑体"/>
                                <w:color w:val="0D1022"/>
                                <w:kern w:val="24"/>
                                <w:sz w:val="44"/>
                                <w:szCs w:val="44"/>
                                <w:lang w:val="en-US" w:eastAsia="zh-CN"/>
                              </w:rPr>
                              <w:t>李可为 &amp; 朱福云</w:t>
                            </w:r>
                          </w:p>
                        </w:txbxContent>
                      </wps:txbx>
                      <wps:bodyPr wrap="square" rtlCol="0">
                        <a:noAutofit/>
                      </wps:bodyPr>
                    </wps:wsp>
                  </a:graphicData>
                </a:graphic>
              </wp:anchor>
            </w:drawing>
          </mc:Choice>
          <mc:Fallback>
            <w:pict>
              <v:shape id="文本框 77" o:spid="_x0000_s1026" o:spt="202" type="#_x0000_t202" style="position:absolute;left:0pt;margin-left:213.65pt;margin-top:259.65pt;height:43.1pt;width:202.45pt;z-index:251669504;mso-width-relative:page;mso-height-relative:page;" filled="f" stroked="f" coordsize="21600,21600" o:gfxdata="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Oe8mdkAAAALAQAADwAAAAAAAAABACAAAAAiAAAAZHJzL2Rv&#10;d25yZXYueG1sUEsBAhQAFAAAAAgAh07iQPjzu+fHAQAAawMAAA4AAAAAAAAAAQAgAAAAKAEAAGRy&#10;cy9lMm9Eb2MueG1sUEsFBgAAAAAGAAYAWQEAAGEFAAAAAA==&#10;">
                <v:fill on="f" focussize="0,0"/>
                <v:stroke on="f"/>
                <v:imagedata o:title=""/>
                <o:lock v:ext="edit" aspectratio="f"/>
                <v:textbox>
                  <w:txbxContent>
                    <w:p w14:paraId="68B13260">
                      <w:pPr>
                        <w:rPr>
                          <w:rFonts w:hint="default" w:ascii="黑体" w:hAnsi="黑体" w:eastAsia="黑体" w:cs="黑体"/>
                          <w:color w:val="0D1022"/>
                          <w:kern w:val="24"/>
                          <w:sz w:val="44"/>
                          <w:szCs w:val="44"/>
                          <w:lang w:val="en-US" w:eastAsia="zh-CN"/>
                        </w:rPr>
                      </w:pPr>
                      <w:r>
                        <w:rPr>
                          <w:rFonts w:hint="eastAsia" w:ascii="黑体" w:hAnsi="黑体" w:eastAsia="黑体" w:cs="黑体"/>
                          <w:color w:val="0D1022"/>
                          <w:kern w:val="24"/>
                          <w:sz w:val="44"/>
                          <w:szCs w:val="44"/>
                          <w:lang w:val="en-US" w:eastAsia="zh-CN"/>
                        </w:rPr>
                        <w:t>李可为 &amp; 朱福云</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3065780</wp:posOffset>
                </wp:positionH>
                <wp:positionV relativeFrom="paragraph">
                  <wp:posOffset>9260840</wp:posOffset>
                </wp:positionV>
                <wp:extent cx="0" cy="950595"/>
                <wp:effectExtent l="4445" t="0" r="14605" b="1905"/>
                <wp:wrapNone/>
                <wp:docPr id="210" name="直接连接符 209"/>
                <wp:cNvGraphicFramePr/>
                <a:graphic xmlns:a="http://schemas.openxmlformats.org/drawingml/2006/main">
                  <a:graphicData uri="http://schemas.microsoft.com/office/word/2010/wordprocessingShape">
                    <wps:wsp>
                      <wps:cNvCnPr/>
                      <wps:spPr>
                        <a:xfrm flipV="1">
                          <a:off x="2700020" y="9260840"/>
                          <a:ext cx="0" cy="950595"/>
                        </a:xfrm>
                        <a:prstGeom prst="line">
                          <a:avLst/>
                        </a:prstGeom>
                        <a:ln>
                          <a:gradFill>
                            <a:gsLst>
                              <a:gs pos="0">
                                <a:srgbClr val="BCE7F7">
                                  <a:alpha val="0"/>
                                </a:srgbClr>
                              </a:gs>
                              <a:gs pos="52000">
                                <a:srgbClr val="87A7B8"/>
                              </a:gs>
                              <a:gs pos="100000">
                                <a:schemeClr val="accent1">
                                  <a:lumMod val="30000"/>
                                  <a:lumOff val="70000"/>
                                  <a:alpha val="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09" o:spid="_x0000_s1026" o:spt="20" style="position:absolute;left:0pt;flip:y;margin-left:241.4pt;margin-top:729.2pt;height:74.85pt;width:0pt;z-index:251673600;mso-width-relative:page;mso-height-relative:page;" filled="f" stroked="t" coordsize="21600,21600" o:gfxdata="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TobHTYAAAADQEAAA8AAAAAAAAAAQAgAAAAIgAAAGRycy9kb3ducmV2LnhtbFBLAQIU&#10;ABQAAAAIAIdO4kBLsad2ZQIAAN4EAAAOAAAAAAAAAAEAIAAAACcBAABkcnMvZTJvRG9jLnhtbFBL&#10;BQYAAAAABgAGAFkBAAD+BQAAAAA=&#10;">
                <v:fill on="f" focussize="0,0"/>
                <v:stroke weight="0.5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2720340</wp:posOffset>
                </wp:positionH>
                <wp:positionV relativeFrom="paragraph">
                  <wp:posOffset>6851015</wp:posOffset>
                </wp:positionV>
                <wp:extent cx="4521835" cy="1436370"/>
                <wp:effectExtent l="0" t="0" r="0" b="0"/>
                <wp:wrapNone/>
                <wp:docPr id="235" name="文本框 234"/>
                <wp:cNvGraphicFramePr/>
                <a:graphic xmlns:a="http://schemas.openxmlformats.org/drawingml/2006/main">
                  <a:graphicData uri="http://schemas.microsoft.com/office/word/2010/wordprocessingShape">
                    <wps:wsp>
                      <wps:cNvSpPr txBox="1"/>
                      <wps:spPr>
                        <a:xfrm>
                          <a:off x="2700655" y="6851015"/>
                          <a:ext cx="4521835" cy="1436370"/>
                        </a:xfrm>
                        <a:prstGeom prst="rect">
                          <a:avLst/>
                        </a:prstGeom>
                        <a:noFill/>
                      </wps:spPr>
                      <wps:txbx>
                        <w:txbxContent>
                          <w:p w14:paraId="73F3CB90">
                            <w:pPr>
                              <w:pStyle w:val="6"/>
                              <w:kinsoku/>
                              <w:spacing w:line="360" w:lineRule="auto"/>
                              <w:ind w:left="0"/>
                              <w:jc w:val="right"/>
                              <w:textAlignment w:val="top"/>
                              <w:rPr>
                                <w:rFonts w:hint="eastAsia" w:ascii="汉仪大黑简" w:hAnsi="汉仪大黑简" w:eastAsia="汉仪大黑简" w:cs="汉仪大黑简"/>
                                <w:color w:val="000000" w:themeColor="text1"/>
                                <w:sz w:val="28"/>
                                <w:szCs w:val="28"/>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行楷简" w:hAnsi="汉仪行楷简" w:eastAsia="汉仪行楷简" w:cs="汉仪行楷简"/>
                                <w:b w:val="0"/>
                                <w:bCs w:val="0"/>
                                <w:i w:val="0"/>
                                <w:iCs w:val="0"/>
                                <w:color w:val="000000" w:themeColor="text1"/>
                                <w:kern w:val="24"/>
                                <w:sz w:val="56"/>
                                <w:szCs w:val="56"/>
                                <w:lang w:val="en-US" w:eastAsia="zh-CN" w:bidi="ar-SA"/>
                                <w14:glow w14:rad="0">
                                  <w14:srgbClr w14:val="FFFFFF"/>
                                </w14:glow>
                                <w14:shadow w14:blurRad="25400" w14:dist="50800" w14:dir="2700000" w14:sx="100000" w14:sy="100000" w14:kx="0" w14:ky="0" w14:algn="tl">
                                  <w14:schemeClr w14:val="bg1">
                                    <w14:lumMod w14:val="50000"/>
                                    <w14:alpha w14:val="60000"/>
                                  </w14:schemeClr>
                                </w14:shadow>
                                <w14:reflection w14:blurRad="0" w14:stA="100000" w14:stPos="0" w14:endA="0" w14:endPos="100000" w14:dist="0" w14:dir="0" w14:fadeDir="5400000" w14:sx="100000" w14:sy="100000" w14:kx="0" w14:algn="b"/>
                                <w14:textFill>
                                  <w14:solidFill>
                                    <w14:schemeClr w14:val="tx1"/>
                                  </w14:solidFill>
                                </w14:textFill>
                                <w14:props3d>
                                  <w14:extrusionClr>
                                    <w14:srgbClr w14:val="3E6427"/>
                                  </w14:extrusionClr>
                                  <w14:contourClr>
                                    <w14:srgbClr w14:val="F9FECD"/>
                                  </w14:contourClr>
                                </w14:props3d>
                              </w:rPr>
                              <w:t>三亚高质量发展系列报告</w:t>
                            </w:r>
                          </w:p>
                        </w:txbxContent>
                      </wps:txbx>
                      <wps:bodyPr wrap="square" rtlCol="0" anchor="t">
                        <a:noAutofit/>
                      </wps:bodyPr>
                    </wps:wsp>
                  </a:graphicData>
                </a:graphic>
              </wp:anchor>
            </w:drawing>
          </mc:Choice>
          <mc:Fallback>
            <w:pict>
              <v:shape id="文本框 234" o:spid="_x0000_s1026" o:spt="202" type="#_x0000_t202" style="position:absolute;left:0pt;margin-left:214.2pt;margin-top:539.45pt;height:113.1pt;width:356.05pt;z-index:251670528;mso-width-relative:page;mso-height-relative:page;" filled="f" stroked="f" coordsize="21600,21600" o:gfxdata="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2SR9NkAAAAOAQAADwAAAAAAAAABACAAAAAi&#10;AAAAZHJzL2Rvd25yZXYueG1sUEsBAhQAFAAAAAgAh07iQDAOLbjQAQAAeQMAAA4AAAAAAAAAAQAg&#10;AAAAKAEAAGRycy9lMm9Eb2MueG1sUEsFBgAAAAAGAAYAWQEAAGoFAAAAAA==&#10;">
                <v:fill on="f" focussize="0,0"/>
                <v:stroke on="f"/>
                <v:imagedata o:title=""/>
                <o:lock v:ext="edit" aspectratio="f"/>
                <v:textbox>
                  <w:txbxContent>
                    <w:p w14:paraId="73F3CB90">
                      <w:pPr>
                        <w:pStyle w:val="6"/>
                        <w:kinsoku/>
                        <w:spacing w:line="360" w:lineRule="auto"/>
                        <w:ind w:left="0"/>
                        <w:jc w:val="right"/>
                        <w:textAlignment w:val="top"/>
                        <w:rPr>
                          <w:rFonts w:hint="eastAsia" w:ascii="汉仪大黑简" w:hAnsi="汉仪大黑简" w:eastAsia="汉仪大黑简" w:cs="汉仪大黑简"/>
                          <w:color w:val="000000" w:themeColor="text1"/>
                          <w:sz w:val="28"/>
                          <w:szCs w:val="28"/>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汉仪行楷简" w:hAnsi="汉仪行楷简" w:eastAsia="汉仪行楷简" w:cs="汉仪行楷简"/>
                          <w:b w:val="0"/>
                          <w:bCs w:val="0"/>
                          <w:i w:val="0"/>
                          <w:iCs w:val="0"/>
                          <w:color w:val="000000" w:themeColor="text1"/>
                          <w:kern w:val="24"/>
                          <w:sz w:val="56"/>
                          <w:szCs w:val="56"/>
                          <w:lang w:val="en-US" w:eastAsia="zh-CN" w:bidi="ar-SA"/>
                          <w14:glow w14:rad="0">
                            <w14:srgbClr w14:val="FFFFFF"/>
                          </w14:glow>
                          <w14:shadow w14:blurRad="25400" w14:dist="50800" w14:dir="2700000" w14:sx="100000" w14:sy="100000" w14:kx="0" w14:ky="0" w14:algn="tl">
                            <w14:schemeClr w14:val="bg1">
                              <w14:lumMod w14:val="50000"/>
                              <w14:alpha w14:val="60000"/>
                            </w14:schemeClr>
                          </w14:shadow>
                          <w14:reflection w14:blurRad="0" w14:stA="100000" w14:stPos="0" w14:endA="0" w14:endPos="100000" w14:dist="0" w14:dir="0" w14:fadeDir="5400000" w14:sx="100000" w14:sy="100000" w14:kx="0" w14:algn="b"/>
                          <w14:textFill>
                            <w14:solidFill>
                              <w14:schemeClr w14:val="tx1"/>
                            </w14:solidFill>
                          </w14:textFill>
                          <w14:props3d>
                            <w14:extrusionClr>
                              <w14:srgbClr w14:val="3E6427"/>
                            </w14:extrusionClr>
                            <w14:contourClr>
                              <w14:srgbClr w14:val="F9FECD"/>
                            </w14:contourClr>
                          </w14:props3d>
                        </w:rPr>
                        <w:t>三亚高质量发展系列报告</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2681605</wp:posOffset>
                </wp:positionH>
                <wp:positionV relativeFrom="paragraph">
                  <wp:posOffset>9262110</wp:posOffset>
                </wp:positionV>
                <wp:extent cx="3801745" cy="991870"/>
                <wp:effectExtent l="0" t="0" r="0" b="0"/>
                <wp:wrapNone/>
                <wp:docPr id="35" name="文本框 34"/>
                <wp:cNvGraphicFramePr/>
                <a:graphic xmlns:a="http://schemas.openxmlformats.org/drawingml/2006/main">
                  <a:graphicData uri="http://schemas.microsoft.com/office/word/2010/wordprocessingShape">
                    <wps:wsp>
                      <wps:cNvSpPr txBox="1"/>
                      <wps:spPr>
                        <a:xfrm>
                          <a:off x="1431290" y="9262110"/>
                          <a:ext cx="3801745" cy="991870"/>
                        </a:xfrm>
                        <a:prstGeom prst="rect">
                          <a:avLst/>
                        </a:prstGeom>
                        <a:noFill/>
                      </wps:spPr>
                      <wps:txbx>
                        <w:txbxContent>
                          <w:p w14:paraId="5F5F4B20">
                            <w:pPr>
                              <w:pStyle w:val="6"/>
                              <w:kinsoku/>
                              <w:spacing w:line="360" w:lineRule="auto"/>
                              <w:ind w:left="0"/>
                              <w:jc w:val="left"/>
                              <w:textAlignment w:val="top"/>
                              <w:rPr>
                                <w:rFonts w:hint="eastAsia" w:ascii="汉仪书宋一简" w:hAnsi="汉仪书宋一简" w:eastAsia="汉仪书宋一简" w:cs="汉仪书宋一简"/>
                                <w:color w:val="000000" w:themeColor="text1"/>
                                <w:kern w:val="24"/>
                                <w:sz w:val="36"/>
                                <w:szCs w:val="36"/>
                                <w14:textFill>
                                  <w14:solidFill>
                                    <w14:schemeClr w14:val="tx1"/>
                                  </w14:solidFill>
                                </w14:textFill>
                              </w:rPr>
                            </w:pPr>
                            <w:r>
                              <w:rPr>
                                <w:rFonts w:ascii="方正大黑简体" w:hAnsi="方正大黑简体" w:eastAsia="方正大黑简体"/>
                                <w:color w:val="000000" w:themeColor="text1"/>
                                <w:kern w:val="24"/>
                                <w:sz w:val="32"/>
                                <w:szCs w:val="32"/>
                                <w14:textFill>
                                  <w14:solidFill>
                                    <w14:schemeClr w14:val="tx1"/>
                                  </w14:solidFill>
                                </w14:textFill>
                              </w:rPr>
                              <w:t xml:space="preserve">            </w:t>
                            </w:r>
                            <w:r>
                              <w:rPr>
                                <w:rFonts w:hint="eastAsia" w:ascii="方正大黑简体" w:hAnsi="方正大黑简体" w:eastAsia="方正大黑简体"/>
                                <w:color w:val="000000" w:themeColor="text1"/>
                                <w:kern w:val="24"/>
                                <w:sz w:val="32"/>
                                <w:szCs w:val="32"/>
                                <w:lang w:val="en-US" w:eastAsia="zh-CN"/>
                                <w14:textFill>
                                  <w14:solidFill>
                                    <w14:schemeClr w14:val="tx1"/>
                                  </w14:solidFill>
                                </w14:textFill>
                              </w:rPr>
                              <w:t xml:space="preserve"> </w:t>
                            </w:r>
                            <w:r>
                              <w:rPr>
                                <w:rFonts w:hint="eastAsia" w:ascii="汉仪书宋一简" w:hAnsi="汉仪书宋一简" w:eastAsia="汉仪书宋一简" w:cs="汉仪书宋一简"/>
                                <w:color w:val="000000" w:themeColor="text1"/>
                                <w:kern w:val="24"/>
                                <w:sz w:val="32"/>
                                <w:szCs w:val="32"/>
                                <w14:textFill>
                                  <w14:solidFill>
                                    <w14:schemeClr w14:val="tx1"/>
                                  </w14:solidFill>
                                </w14:textFill>
                              </w:rPr>
                              <w:t>三亚经济研究院</w:t>
                            </w:r>
                          </w:p>
                          <w:p w14:paraId="4B7AA8D2">
                            <w:pPr>
                              <w:pStyle w:val="6"/>
                              <w:kinsoku/>
                              <w:spacing w:line="360" w:lineRule="auto"/>
                              <w:ind w:left="0"/>
                              <w:jc w:val="left"/>
                              <w:textAlignment w:val="top"/>
                              <w:rPr>
                                <w:rFonts w:hint="eastAsia" w:ascii="汉仪书宋一简" w:hAnsi="汉仪书宋一简" w:eastAsia="汉仪书宋一简" w:cs="汉仪书宋一简"/>
                                <w:color w:val="000000" w:themeColor="text1"/>
                                <w:kern w:val="24"/>
                                <w:sz w:val="36"/>
                                <w:szCs w:val="36"/>
                                <w14:textFill>
                                  <w14:solidFill>
                                    <w14:schemeClr w14:val="tx1"/>
                                  </w14:solidFill>
                                </w14:textFill>
                              </w:rPr>
                            </w:pPr>
                            <w:r>
                              <w:rPr>
                                <w:rFonts w:ascii="方正大黑简体" w:hAnsi="方正大黑简体" w:eastAsia="方正大黑简体"/>
                                <w:color w:val="000000" w:themeColor="text1"/>
                                <w:kern w:val="24"/>
                                <w:sz w:val="32"/>
                                <w:szCs w:val="32"/>
                                <w14:textFill>
                                  <w14:solidFill>
                                    <w14:schemeClr w14:val="tx1"/>
                                  </w14:solidFill>
                                </w14:textFill>
                              </w:rPr>
                              <w:t xml:space="preserve">          </w:t>
                            </w:r>
                            <w:r>
                              <w:rPr>
                                <w:rFonts w:hint="eastAsia" w:ascii="汉仪长宋简" w:hAnsi="汉仪长宋简" w:eastAsia="汉仪长宋简" w:cs="汉仪长宋简"/>
                                <w:color w:val="000000" w:themeColor="text1"/>
                                <w:kern w:val="24"/>
                                <w:sz w:val="32"/>
                                <w:szCs w:val="32"/>
                                <w14:textFill>
                                  <w14:solidFill>
                                    <w14:schemeClr w14:val="tx1"/>
                                  </w14:solidFill>
                                </w14:textFill>
                              </w:rPr>
                              <w:t xml:space="preserve"> </w:t>
                            </w:r>
                            <w:r>
                              <w:rPr>
                                <w:rFonts w:hint="eastAsia" w:ascii="汉仪长宋简" w:hAnsi="汉仪长宋简" w:eastAsia="汉仪长宋简" w:cs="汉仪长宋简"/>
                                <w:color w:val="000000" w:themeColor="text1"/>
                                <w:kern w:val="24"/>
                                <w:sz w:val="32"/>
                                <w:szCs w:val="32"/>
                                <w:lang w:val="en-US" w:eastAsia="zh-CN"/>
                                <w14:textFill>
                                  <w14:solidFill>
                                    <w14:schemeClr w14:val="tx1"/>
                                  </w14:solidFill>
                                </w14:textFill>
                              </w:rPr>
                              <w:t xml:space="preserve">  </w:t>
                            </w:r>
                            <w:r>
                              <w:rPr>
                                <w:rFonts w:hint="eastAsia" w:ascii="汉仪书宋一简" w:hAnsi="汉仪书宋一简" w:eastAsia="汉仪书宋一简" w:cs="汉仪书宋一简"/>
                                <w:color w:val="000000" w:themeColor="text1"/>
                                <w:kern w:val="24"/>
                                <w:sz w:val="32"/>
                                <w:szCs w:val="32"/>
                                <w14:textFill>
                                  <w14:solidFill>
                                    <w14:schemeClr w14:val="tx1"/>
                                  </w14:solidFill>
                                </w14:textFill>
                              </w:rPr>
                              <w:t>2025年10月版</w:t>
                            </w:r>
                          </w:p>
                        </w:txbxContent>
                      </wps:txbx>
                      <wps:bodyPr wrap="square" rtlCol="0" anchor="t">
                        <a:noAutofit/>
                      </wps:bodyPr>
                    </wps:wsp>
                  </a:graphicData>
                </a:graphic>
              </wp:anchor>
            </w:drawing>
          </mc:Choice>
          <mc:Fallback>
            <w:pict>
              <v:shape id="文本框 34" o:spid="_x0000_s1026" o:spt="202" type="#_x0000_t202" style="position:absolute;left:0pt;margin-left:211.15pt;margin-top:729.3pt;height:78.1pt;width:299.35pt;z-index:251660288;mso-width-relative:page;mso-height-relative:page;" filled="f" stroked="f" coordsize="21600,21600" o:gfxdata="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TqjL7aAAAADgEAAA8AAAAAAAAAAQAgAAAAIgAA&#10;AGRycy9kb3ducmV2LnhtbFBLAQIUABQAAAAIAIdO4kCUyyerzQEAAHYDAAAOAAAAAAAAAAEAIAAA&#10;ACkBAABkcnMvZTJvRG9jLnhtbFBLBQYAAAAABgAGAFkBAABoBQAAAAA=&#10;">
                <v:fill on="f" focussize="0,0"/>
                <v:stroke on="f"/>
                <v:imagedata o:title=""/>
                <o:lock v:ext="edit" aspectratio="f"/>
                <v:textbox>
                  <w:txbxContent>
                    <w:p w14:paraId="5F5F4B20">
                      <w:pPr>
                        <w:pStyle w:val="6"/>
                        <w:kinsoku/>
                        <w:spacing w:line="360" w:lineRule="auto"/>
                        <w:ind w:left="0"/>
                        <w:jc w:val="left"/>
                        <w:textAlignment w:val="top"/>
                        <w:rPr>
                          <w:rFonts w:hint="eastAsia" w:ascii="汉仪书宋一简" w:hAnsi="汉仪书宋一简" w:eastAsia="汉仪书宋一简" w:cs="汉仪书宋一简"/>
                          <w:color w:val="000000" w:themeColor="text1"/>
                          <w:kern w:val="24"/>
                          <w:sz w:val="36"/>
                          <w:szCs w:val="36"/>
                          <w14:textFill>
                            <w14:solidFill>
                              <w14:schemeClr w14:val="tx1"/>
                            </w14:solidFill>
                          </w14:textFill>
                        </w:rPr>
                      </w:pPr>
                      <w:r>
                        <w:rPr>
                          <w:rFonts w:ascii="方正大黑简体" w:hAnsi="方正大黑简体" w:eastAsia="方正大黑简体"/>
                          <w:color w:val="000000" w:themeColor="text1"/>
                          <w:kern w:val="24"/>
                          <w:sz w:val="32"/>
                          <w:szCs w:val="32"/>
                          <w14:textFill>
                            <w14:solidFill>
                              <w14:schemeClr w14:val="tx1"/>
                            </w14:solidFill>
                          </w14:textFill>
                        </w:rPr>
                        <w:t xml:space="preserve">            </w:t>
                      </w:r>
                      <w:r>
                        <w:rPr>
                          <w:rFonts w:hint="eastAsia" w:ascii="方正大黑简体" w:hAnsi="方正大黑简体" w:eastAsia="方正大黑简体"/>
                          <w:color w:val="000000" w:themeColor="text1"/>
                          <w:kern w:val="24"/>
                          <w:sz w:val="32"/>
                          <w:szCs w:val="32"/>
                          <w:lang w:val="en-US" w:eastAsia="zh-CN"/>
                          <w14:textFill>
                            <w14:solidFill>
                              <w14:schemeClr w14:val="tx1"/>
                            </w14:solidFill>
                          </w14:textFill>
                        </w:rPr>
                        <w:t xml:space="preserve"> </w:t>
                      </w:r>
                      <w:r>
                        <w:rPr>
                          <w:rFonts w:hint="eastAsia" w:ascii="汉仪书宋一简" w:hAnsi="汉仪书宋一简" w:eastAsia="汉仪书宋一简" w:cs="汉仪书宋一简"/>
                          <w:color w:val="000000" w:themeColor="text1"/>
                          <w:kern w:val="24"/>
                          <w:sz w:val="32"/>
                          <w:szCs w:val="32"/>
                          <w14:textFill>
                            <w14:solidFill>
                              <w14:schemeClr w14:val="tx1"/>
                            </w14:solidFill>
                          </w14:textFill>
                        </w:rPr>
                        <w:t>三亚经济研究院</w:t>
                      </w:r>
                    </w:p>
                    <w:p w14:paraId="4B7AA8D2">
                      <w:pPr>
                        <w:pStyle w:val="6"/>
                        <w:kinsoku/>
                        <w:spacing w:line="360" w:lineRule="auto"/>
                        <w:ind w:left="0"/>
                        <w:jc w:val="left"/>
                        <w:textAlignment w:val="top"/>
                        <w:rPr>
                          <w:rFonts w:hint="eastAsia" w:ascii="汉仪书宋一简" w:hAnsi="汉仪书宋一简" w:eastAsia="汉仪书宋一简" w:cs="汉仪书宋一简"/>
                          <w:color w:val="000000" w:themeColor="text1"/>
                          <w:kern w:val="24"/>
                          <w:sz w:val="36"/>
                          <w:szCs w:val="36"/>
                          <w14:textFill>
                            <w14:solidFill>
                              <w14:schemeClr w14:val="tx1"/>
                            </w14:solidFill>
                          </w14:textFill>
                        </w:rPr>
                      </w:pPr>
                      <w:r>
                        <w:rPr>
                          <w:rFonts w:ascii="方正大黑简体" w:hAnsi="方正大黑简体" w:eastAsia="方正大黑简体"/>
                          <w:color w:val="000000" w:themeColor="text1"/>
                          <w:kern w:val="24"/>
                          <w:sz w:val="32"/>
                          <w:szCs w:val="32"/>
                          <w14:textFill>
                            <w14:solidFill>
                              <w14:schemeClr w14:val="tx1"/>
                            </w14:solidFill>
                          </w14:textFill>
                        </w:rPr>
                        <w:t xml:space="preserve">          </w:t>
                      </w:r>
                      <w:r>
                        <w:rPr>
                          <w:rFonts w:hint="eastAsia" w:ascii="汉仪长宋简" w:hAnsi="汉仪长宋简" w:eastAsia="汉仪长宋简" w:cs="汉仪长宋简"/>
                          <w:color w:val="000000" w:themeColor="text1"/>
                          <w:kern w:val="24"/>
                          <w:sz w:val="32"/>
                          <w:szCs w:val="32"/>
                          <w14:textFill>
                            <w14:solidFill>
                              <w14:schemeClr w14:val="tx1"/>
                            </w14:solidFill>
                          </w14:textFill>
                        </w:rPr>
                        <w:t xml:space="preserve"> </w:t>
                      </w:r>
                      <w:r>
                        <w:rPr>
                          <w:rFonts w:hint="eastAsia" w:ascii="汉仪长宋简" w:hAnsi="汉仪长宋简" w:eastAsia="汉仪长宋简" w:cs="汉仪长宋简"/>
                          <w:color w:val="000000" w:themeColor="text1"/>
                          <w:kern w:val="24"/>
                          <w:sz w:val="32"/>
                          <w:szCs w:val="32"/>
                          <w:lang w:val="en-US" w:eastAsia="zh-CN"/>
                          <w14:textFill>
                            <w14:solidFill>
                              <w14:schemeClr w14:val="tx1"/>
                            </w14:solidFill>
                          </w14:textFill>
                        </w:rPr>
                        <w:t xml:space="preserve">  </w:t>
                      </w:r>
                      <w:r>
                        <w:rPr>
                          <w:rFonts w:hint="eastAsia" w:ascii="汉仪书宋一简" w:hAnsi="汉仪书宋一简" w:eastAsia="汉仪书宋一简" w:cs="汉仪书宋一简"/>
                          <w:color w:val="000000" w:themeColor="text1"/>
                          <w:kern w:val="24"/>
                          <w:sz w:val="32"/>
                          <w:szCs w:val="32"/>
                          <w14:textFill>
                            <w14:solidFill>
                              <w14:schemeClr w14:val="tx1"/>
                            </w14:solidFill>
                          </w14:textFill>
                        </w:rPr>
                        <w:t>2025年10月版</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1219200</wp:posOffset>
                </wp:positionH>
                <wp:positionV relativeFrom="paragraph">
                  <wp:posOffset>9287510</wp:posOffset>
                </wp:positionV>
                <wp:extent cx="1583690" cy="815975"/>
                <wp:effectExtent l="4445" t="4445" r="12065" b="17780"/>
                <wp:wrapNone/>
                <wp:docPr id="5" name="文本框 5"/>
                <wp:cNvGraphicFramePr/>
                <a:graphic xmlns:a="http://schemas.openxmlformats.org/drawingml/2006/main">
                  <a:graphicData uri="http://schemas.microsoft.com/office/word/2010/wordprocessingShape">
                    <wps:wsp>
                      <wps:cNvSpPr txBox="1"/>
                      <wps:spPr>
                        <a:xfrm>
                          <a:off x="1219200" y="9345295"/>
                          <a:ext cx="1583690" cy="815975"/>
                        </a:xfrm>
                        <a:prstGeom prst="rect">
                          <a:avLst/>
                        </a:prstGeom>
                        <a:solidFill>
                          <a:schemeClr val="lt1"/>
                        </a:solidFill>
                        <a:ln w="6350">
                          <a:solidFill>
                            <a:srgbClr val="4A6FA5"/>
                          </a:solidFill>
                        </a:ln>
                      </wps:spPr>
                      <wps:style>
                        <a:lnRef idx="0">
                          <a:schemeClr val="accent1"/>
                        </a:lnRef>
                        <a:fillRef idx="0">
                          <a:schemeClr val="accent1"/>
                        </a:fillRef>
                        <a:effectRef idx="0">
                          <a:schemeClr val="accent1"/>
                        </a:effectRef>
                        <a:fontRef idx="minor">
                          <a:schemeClr val="dk1"/>
                        </a:fontRef>
                      </wps:style>
                      <wps:txbx>
                        <w:txbxContent>
                          <w:p w14:paraId="6125A495">
                            <w:pPr>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SAAT人机共研实验室出品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pt;margin-top:731.3pt;height:64.25pt;width:124.7pt;z-index:251681792;mso-width-relative:page;mso-height-relative:page;" fillcolor="#FFFFFF [3201]" filled="t" stroked="t" coordsize="21600,21600" o:gfxdata="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KpKN/cAAAADQEAAA8AAAAAAAAAAQAgAAAAIgAAAGRycy9kb3ducmV2Lnht&#10;bFBLAQIUABQAAAAIAIdO4kAGJ5yTZwIAAMQEAAAOAAAAAAAAAAEAIAAAACsBAABkcnMvZTJvRG9j&#10;LnhtbFBLBQYAAAAABgAGAFkBAAAEBgAAAAA=&#10;">
                <v:fill on="t" focussize="0,0"/>
                <v:stroke weight="0.5pt" color="#4A6FA5 [3204]" joinstyle="round"/>
                <v:imagedata o:title=""/>
                <o:lock v:ext="edit" aspectratio="f"/>
                <v:textbox>
                  <w:txbxContent>
                    <w:p w14:paraId="6125A495">
                      <w:pPr>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SAAT人机共研实验室出品</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2633980</wp:posOffset>
                </wp:positionH>
                <wp:positionV relativeFrom="paragraph">
                  <wp:posOffset>7529195</wp:posOffset>
                </wp:positionV>
                <wp:extent cx="4598670" cy="547370"/>
                <wp:effectExtent l="0" t="0" r="0" b="0"/>
                <wp:wrapNone/>
                <wp:docPr id="32" name="文本框 31" descr="7b0a2020202022776f7264617274223a2022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5037510&quot;,&quot;origin&quot;:0,&quot;type&quot;:&quot;wordart&quot;,&quot;user&quot;:&quot;596750968&quot;}"/>
                      </s:tag>
                    </a:ext>
                  </a:extLst>
                </wp:cNvGraphicFramePr>
                <a:graphic xmlns:a="http://schemas.openxmlformats.org/drawingml/2006/main">
                  <a:graphicData uri="http://schemas.microsoft.com/office/word/2010/wordprocessingShape">
                    <wps:wsp>
                      <wps:cNvSpPr txBox="1"/>
                      <wps:spPr>
                        <a:xfrm>
                          <a:off x="1803400" y="8301990"/>
                          <a:ext cx="4598670" cy="547370"/>
                        </a:xfrm>
                        <a:prstGeom prst="rect">
                          <a:avLst/>
                        </a:prstGeom>
                        <a:noFill/>
                      </wps:spPr>
                      <wps:txbx>
                        <w:txbxContent>
                          <w:p w14:paraId="10951CB7">
                            <w:pPr>
                              <w:jc w:val="right"/>
                              <w:rPr>
                                <w:rFonts w:hint="eastAsia" w:ascii="汉仪行楷简" w:hAnsi="汉仪行楷简" w:eastAsia="汉仪行楷简" w:cs="汉仪行楷简"/>
                                <w:b w:val="0"/>
                                <w:bCs w:val="0"/>
                                <w:i w:val="0"/>
                                <w:iCs w:val="0"/>
                                <w:color w:val="4A6FA5"/>
                                <w:kern w:val="24"/>
                                <w:sz w:val="44"/>
                                <w:szCs w:val="44"/>
                                <w14:glow w14:rad="0">
                                  <w14:srgbClr w14:val="FFFFFF"/>
                                </w14:glow>
                                <w14:shadow w14:blurRad="25400" w14:dist="50800" w14:dir="2700000" w14:sx="100000" w14:sy="100000" w14:kx="0" w14:ky="0" w14:algn="tl">
                                  <w14:srgbClr w14:val="4F8EE3">
                                    <w14:alpha w14:val="60000"/>
                                  </w14:srgbClr>
                                </w14:shadow>
                                <w14:reflection w14:blurRad="0" w14:stA="100000" w14:stPos="0" w14:endA="0" w14:endPos="100000" w14:dist="0" w14:dir="0" w14:fadeDir="5400000" w14:sx="100000" w14:sy="100000" w14:kx="0" w14:algn="b"/>
                                <w14:textFill>
                                  <w14:solidFill>
                                    <w14:srgbClr w14:val="4A6FA5">
                                      <w14:alpha w14:val="0"/>
                                    </w14:srgbClr>
                                  </w14:solidFill>
                                </w14:textFill>
                                <w14:props3d>
                                  <w14:extrusionClr>
                                    <w14:srgbClr w14:val="3E6427"/>
                                  </w14:extrusionClr>
                                  <w14:contourClr>
                                    <w14:srgbClr w14:val="F9FECD"/>
                                  </w14:contourClr>
                                </w14:props3d>
                              </w:rPr>
                            </w:pPr>
                            <w:r>
                              <w:rPr>
                                <w:rFonts w:hint="eastAsia" w:ascii="汉仪行楷简" w:hAnsi="汉仪行楷简" w:eastAsia="汉仪行楷简" w:cs="汉仪行楷简"/>
                                <w:b w:val="0"/>
                                <w:bCs w:val="0"/>
                                <w:i w:val="0"/>
                                <w:iCs w:val="0"/>
                                <w:color w:val="FDBA74"/>
                                <w:kern w:val="24"/>
                                <w:sz w:val="44"/>
                                <w:szCs w:val="44"/>
                                <w:lang w:val="en-US" w:eastAsia="zh-CN"/>
                                <w14:glow w14:rad="0">
                                  <w14:srgbClr w14:val="FFFFFF"/>
                                </w14:glow>
                                <w14:shadow w14:blurRad="25400" w14:dist="50800" w14:dir="2700000" w14:sx="100000" w14:sy="100000" w14:kx="0" w14:ky="0" w14:algn="tl">
                                  <w14:srgbClr w14:val="4F8EE3">
                                    <w14:alpha w14:val="60000"/>
                                  </w14:srgbClr>
                                </w14:shadow>
                                <w14:reflection w14:blurRad="0" w14:stA="100000" w14:stPos="0" w14:endA="0" w14:endPos="100000" w14:dist="0" w14:dir="0" w14:fadeDir="5400000" w14:sx="100000" w14:sy="100000" w14:kx="0" w14:algn="b"/>
                                <w14:props3d>
                                  <w14:extrusionClr>
                                    <w14:srgbClr w14:val="3E6427"/>
                                  </w14:extrusionClr>
                                  <w14:contourClr>
                                    <w14:srgbClr w14:val="F9FECD"/>
                                  </w14:contourClr>
                                </w14:props3d>
                              </w:rPr>
                              <w:t>区域</w:t>
                            </w:r>
                            <w:r>
                              <w:rPr>
                                <w:rFonts w:hint="eastAsia" w:ascii="汉仪行楷简" w:hAnsi="汉仪行楷简" w:eastAsia="汉仪行楷简" w:cs="汉仪行楷简"/>
                                <w:b w:val="0"/>
                                <w:bCs w:val="0"/>
                                <w:i w:val="0"/>
                                <w:iCs w:val="0"/>
                                <w:color w:val="FDBA74"/>
                                <w:kern w:val="24"/>
                                <w:sz w:val="44"/>
                                <w:szCs w:val="44"/>
                                <w14:glow w14:rad="0">
                                  <w14:srgbClr w14:val="FFFFFF"/>
                                </w14:glow>
                                <w14:shadow w14:blurRad="25400" w14:dist="50800" w14:dir="2700000" w14:sx="100000" w14:sy="100000" w14:kx="0" w14:ky="0" w14:algn="tl">
                                  <w14:srgbClr w14:val="4F8EE3">
                                    <w14:alpha w14:val="60000"/>
                                  </w14:srgbClr>
                                </w14:shadow>
                                <w14:reflection w14:blurRad="0" w14:stA="100000" w14:stPos="0" w14:endA="0" w14:endPos="100000" w14:dist="0" w14:dir="0" w14:fadeDir="5400000" w14:sx="100000" w14:sy="100000" w14:kx="0" w14:algn="b"/>
                                <w14:props3d>
                                  <w14:extrusionClr>
                                    <w14:srgbClr w14:val="3E6427"/>
                                  </w14:extrusionClr>
                                  <w14:contourClr>
                                    <w14:srgbClr w14:val="F9FECD"/>
                                  </w14:contourClr>
                                </w14:props3d>
                              </w:rPr>
                              <w:t>发展系列</w:t>
                            </w:r>
                          </w:p>
                        </w:txbxContent>
                      </wps:txbx>
                      <wps:bodyPr wrap="square" rtlCol="0" anchor="t">
                        <a:noAutofit/>
                      </wps:bodyPr>
                    </wps:wsp>
                  </a:graphicData>
                </a:graphic>
              </wp:anchor>
            </w:drawing>
          </mc:Choice>
          <mc:Fallback>
            <w:pict>
              <v:shape id="文本框 31" o:spid="_x0000_s1026" o:spt="202" alt="7b0a2020202022776f7264617274223a2022220a7d0a" type="#_x0000_t202" style="position:absolute;left:0pt;margin-left:207.4pt;margin-top:592.85pt;height:43.1pt;width:362.1pt;z-index:251672576;mso-width-relative:page;mso-height-relative:page;" filled="f" stroked="f" coordsize="21600,21600" o:gfxdata="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C5s/2gAAAA4BAAAPAAAAAAAAAAEAIAAAACIAAABkcnMvZG93bnJldi54bWxQSwECFAAU&#10;AAAACACHTuJAttDHwe8BAACrAwAADgAAAAAAAAABACAAAAApAQAAZHJzL2Uyb0RvYy54bWxQSwUG&#10;AAAAAAYABgBZAQAAigUAAAAA&#10;">
                <v:fill on="f" focussize="0,0"/>
                <v:stroke on="f"/>
                <v:imagedata o:title=""/>
                <o:lock v:ext="edit" aspectratio="f"/>
                <v:textbox>
                  <w:txbxContent>
                    <w:p w14:paraId="10951CB7">
                      <w:pPr>
                        <w:jc w:val="right"/>
                        <w:rPr>
                          <w:rFonts w:hint="eastAsia" w:ascii="汉仪行楷简" w:hAnsi="汉仪行楷简" w:eastAsia="汉仪行楷简" w:cs="汉仪行楷简"/>
                          <w:b w:val="0"/>
                          <w:bCs w:val="0"/>
                          <w:i w:val="0"/>
                          <w:iCs w:val="0"/>
                          <w:color w:val="4A6FA5"/>
                          <w:kern w:val="24"/>
                          <w:sz w:val="44"/>
                          <w:szCs w:val="44"/>
                          <w14:glow w14:rad="0">
                            <w14:srgbClr w14:val="FFFFFF"/>
                          </w14:glow>
                          <w14:shadow w14:blurRad="25400" w14:dist="50800" w14:dir="2700000" w14:sx="100000" w14:sy="100000" w14:kx="0" w14:ky="0" w14:algn="tl">
                            <w14:srgbClr w14:val="4F8EE3">
                              <w14:alpha w14:val="60000"/>
                            </w14:srgbClr>
                          </w14:shadow>
                          <w14:reflection w14:blurRad="0" w14:stA="100000" w14:stPos="0" w14:endA="0" w14:endPos="100000" w14:dist="0" w14:dir="0" w14:fadeDir="5400000" w14:sx="100000" w14:sy="100000" w14:kx="0" w14:algn="b"/>
                          <w14:textFill>
                            <w14:solidFill>
                              <w14:srgbClr w14:val="4A6FA5">
                                <w14:alpha w14:val="0"/>
                              </w14:srgbClr>
                            </w14:solidFill>
                          </w14:textFill>
                          <w14:props3d>
                            <w14:extrusionClr>
                              <w14:srgbClr w14:val="3E6427"/>
                            </w14:extrusionClr>
                            <w14:contourClr>
                              <w14:srgbClr w14:val="F9FECD"/>
                            </w14:contourClr>
                          </w14:props3d>
                        </w:rPr>
                      </w:pPr>
                      <w:r>
                        <w:rPr>
                          <w:rFonts w:hint="eastAsia" w:ascii="汉仪行楷简" w:hAnsi="汉仪行楷简" w:eastAsia="汉仪行楷简" w:cs="汉仪行楷简"/>
                          <w:b w:val="0"/>
                          <w:bCs w:val="0"/>
                          <w:i w:val="0"/>
                          <w:iCs w:val="0"/>
                          <w:color w:val="FDBA74"/>
                          <w:kern w:val="24"/>
                          <w:sz w:val="44"/>
                          <w:szCs w:val="44"/>
                          <w:lang w:val="en-US" w:eastAsia="zh-CN"/>
                          <w14:glow w14:rad="0">
                            <w14:srgbClr w14:val="FFFFFF"/>
                          </w14:glow>
                          <w14:shadow w14:blurRad="25400" w14:dist="50800" w14:dir="2700000" w14:sx="100000" w14:sy="100000" w14:kx="0" w14:ky="0" w14:algn="tl">
                            <w14:srgbClr w14:val="4F8EE3">
                              <w14:alpha w14:val="60000"/>
                            </w14:srgbClr>
                          </w14:shadow>
                          <w14:reflection w14:blurRad="0" w14:stA="100000" w14:stPos="0" w14:endA="0" w14:endPos="100000" w14:dist="0" w14:dir="0" w14:fadeDir="5400000" w14:sx="100000" w14:sy="100000" w14:kx="0" w14:algn="b"/>
                          <w14:props3d>
                            <w14:extrusionClr>
                              <w14:srgbClr w14:val="3E6427"/>
                            </w14:extrusionClr>
                            <w14:contourClr>
                              <w14:srgbClr w14:val="F9FECD"/>
                            </w14:contourClr>
                          </w14:props3d>
                        </w:rPr>
                        <w:t>区域</w:t>
                      </w:r>
                      <w:r>
                        <w:rPr>
                          <w:rFonts w:hint="eastAsia" w:ascii="汉仪行楷简" w:hAnsi="汉仪行楷简" w:eastAsia="汉仪行楷简" w:cs="汉仪行楷简"/>
                          <w:b w:val="0"/>
                          <w:bCs w:val="0"/>
                          <w:i w:val="0"/>
                          <w:iCs w:val="0"/>
                          <w:color w:val="FDBA74"/>
                          <w:kern w:val="24"/>
                          <w:sz w:val="44"/>
                          <w:szCs w:val="44"/>
                          <w14:glow w14:rad="0">
                            <w14:srgbClr w14:val="FFFFFF"/>
                          </w14:glow>
                          <w14:shadow w14:blurRad="25400" w14:dist="50800" w14:dir="2700000" w14:sx="100000" w14:sy="100000" w14:kx="0" w14:ky="0" w14:algn="tl">
                            <w14:srgbClr w14:val="4F8EE3">
                              <w14:alpha w14:val="60000"/>
                            </w14:srgbClr>
                          </w14:shadow>
                          <w14:reflection w14:blurRad="0" w14:stA="100000" w14:stPos="0" w14:endA="0" w14:endPos="100000" w14:dist="0" w14:dir="0" w14:fadeDir="5400000" w14:sx="100000" w14:sy="100000" w14:kx="0" w14:algn="b"/>
                          <w14:props3d>
                            <w14:extrusionClr>
                              <w14:srgbClr w14:val="3E6427"/>
                            </w14:extrusionClr>
                            <w14:contourClr>
                              <w14:srgbClr w14:val="F9FECD"/>
                            </w14:contourClr>
                          </w14:props3d>
                        </w:rPr>
                        <w:t>发展系列</w:t>
                      </w:r>
                    </w:p>
                  </w:txbxContent>
                </v:textbox>
              </v:shape>
            </w:pict>
          </mc:Fallback>
        </mc:AlternateContent>
      </w:r>
      <w:r>
        <w:drawing>
          <wp:anchor distT="0" distB="0" distL="114300" distR="114300" simplePos="0" relativeHeight="251680768" behindDoc="0" locked="0" layoutInCell="1" allowOverlap="1">
            <wp:simplePos x="0" y="0"/>
            <wp:positionH relativeFrom="column">
              <wp:posOffset>5192395</wp:posOffset>
            </wp:positionH>
            <wp:positionV relativeFrom="paragraph">
              <wp:posOffset>181610</wp:posOffset>
            </wp:positionV>
            <wp:extent cx="2265045" cy="522605"/>
            <wp:effectExtent l="0" t="0" r="1905" b="10795"/>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
                    <a:srcRect l="4801" t="13319" r="6389" b="6624"/>
                    <a:stretch>
                      <a:fillRect/>
                    </a:stretch>
                  </pic:blipFill>
                  <pic:spPr>
                    <a:xfrm>
                      <a:off x="0" y="0"/>
                      <a:ext cx="2265045" cy="522605"/>
                    </a:xfrm>
                    <a:prstGeom prst="rect">
                      <a:avLst/>
                    </a:prstGeom>
                  </pic:spPr>
                </pic:pic>
              </a:graphicData>
            </a:graphic>
          </wp:anchor>
        </w:drawing>
      </w:r>
      <w:r>
        <w:rPr>
          <w:sz w:val="21"/>
        </w:rPr>
        <mc:AlternateContent>
          <mc:Choice Requires="wps">
            <w:drawing>
              <wp:anchor distT="0" distB="0" distL="114300" distR="114300" simplePos="0" relativeHeight="251674624" behindDoc="0" locked="0" layoutInCell="1" allowOverlap="1">
                <wp:simplePos x="0" y="0"/>
                <wp:positionH relativeFrom="column">
                  <wp:posOffset>7225665</wp:posOffset>
                </wp:positionH>
                <wp:positionV relativeFrom="paragraph">
                  <wp:posOffset>6104890</wp:posOffset>
                </wp:positionV>
                <wp:extent cx="4482465" cy="4406900"/>
                <wp:effectExtent l="0" t="0" r="0" b="278130"/>
                <wp:wrapNone/>
                <wp:docPr id="7" name="任意多边形 7"/>
                <wp:cNvGraphicFramePr/>
                <a:graphic xmlns:a="http://schemas.openxmlformats.org/drawingml/2006/main">
                  <a:graphicData uri="http://schemas.microsoft.com/office/word/2010/wordprocessingShape">
                    <wps:wsp>
                      <wps:cNvSpPr/>
                      <wps:spPr>
                        <a:xfrm rot="960000">
                          <a:off x="7225665" y="6104890"/>
                          <a:ext cx="4482465" cy="4406900"/>
                        </a:xfrm>
                        <a:custGeom>
                          <a:avLst/>
                          <a:gdLst/>
                          <a:ahLst/>
                          <a:cxnLst>
                            <a:cxn ang="3">
                              <a:pos x="hc" y="t"/>
                            </a:cxn>
                            <a:cxn ang="cd2">
                              <a:pos x="l" y="vc"/>
                            </a:cxn>
                            <a:cxn ang="cd4">
                              <a:pos x="hc" y="b"/>
                            </a:cxn>
                            <a:cxn ang="0">
                              <a:pos x="r" y="vc"/>
                            </a:cxn>
                          </a:cxnLst>
                          <a:rect l="l" t="t" r="r" b="b"/>
                          <a:pathLst>
                            <a:path w="6564" h="6453">
                              <a:moveTo>
                                <a:pt x="0" y="0"/>
                              </a:moveTo>
                              <a:lnTo>
                                <a:pt x="6" y="13"/>
                              </a:lnTo>
                              <a:cubicBezTo>
                                <a:pt x="1037" y="2260"/>
                                <a:pt x="3200" y="4427"/>
                                <a:pt x="6110" y="5846"/>
                              </a:cubicBezTo>
                              <a:cubicBezTo>
                                <a:pt x="6236" y="5908"/>
                                <a:pt x="6363" y="5967"/>
                                <a:pt x="6490" y="6025"/>
                              </a:cubicBezTo>
                              <a:lnTo>
                                <a:pt x="6564" y="6058"/>
                              </a:lnTo>
                              <a:lnTo>
                                <a:pt x="5189" y="6453"/>
                              </a:lnTo>
                              <a:lnTo>
                                <a:pt x="5082" y="6381"/>
                              </a:lnTo>
                              <a:cubicBezTo>
                                <a:pt x="2521" y="4648"/>
                                <a:pt x="738" y="2334"/>
                                <a:pt x="1" y="69"/>
                              </a:cubicBezTo>
                              <a:lnTo>
                                <a:pt x="0" y="65"/>
                              </a:lnTo>
                              <a:lnTo>
                                <a:pt x="0" y="0"/>
                              </a:lnTo>
                              <a:close/>
                            </a:path>
                          </a:pathLst>
                        </a:custGeom>
                        <a:gradFill>
                          <a:gsLst>
                            <a:gs pos="0">
                              <a:schemeClr val="accent1">
                                <a:lumMod val="5000"/>
                                <a:lumOff val="95000"/>
                                <a:alpha val="0"/>
                              </a:schemeClr>
                            </a:gs>
                            <a:gs pos="39000">
                              <a:srgbClr val="ECECEC">
                                <a:alpha val="0"/>
                              </a:srgbClr>
                            </a:gs>
                            <a:gs pos="100000">
                              <a:srgbClr val="2574CA">
                                <a:alpha val="19000"/>
                              </a:srgb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numCol="1" spcCol="0" rtlCol="0" fromWordArt="0" anchor="ctr" anchorCtr="0" forceAA="0" compatLnSpc="1">
                        <a:noAutofit/>
                      </wps:bodyPr>
                    </wps:wsp>
                  </a:graphicData>
                </a:graphic>
              </wp:anchor>
            </w:drawing>
          </mc:Choice>
          <mc:Fallback>
            <w:pict>
              <v:shape id="_x0000_s1026" o:spid="_x0000_s1026" o:spt="100" style="position:absolute;left:0pt;margin-left:568.95pt;margin-top:480.7pt;height:347pt;width:352.95pt;rotation:1048576f;z-index:251674624;v-text-anchor:middle;mso-width-relative:page;mso-height-relative:page;" fillcolor="#F7FAFD [180]" filled="t" stroked="f" coordsize="6564,6453" o:gfxdata="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KgR0LTaAAAADgEAAA8AAAAAAAAAAQAgAAAAIgAAAGRy&#10;cy9kb3ducmV2LnhtbFBLAQIUABQAAAAIAIdO4kA+cIYSBAQAAE0JAAAOAAAAAAAAAAEAIAAAACkB&#10;AABkcnMvZTJvRG9jLnhtbFBLBQYAAAAABgAGAFkBAACfBwAAAAA=&#10;" path="m0,0l6,13c1037,2260,3200,4427,6110,5846c6236,5908,6363,5967,6490,6025l6564,6058,5189,6453,5082,6381c2521,4648,738,2334,1,69l0,65,0,0xe">
                <v:path o:connectlocs="2241232,0;0,2203450;2241232,4406900;4482465,2203450" o:connectangles="0,164,82,0"/>
                <v:fill type="gradient" on="t" color2="#2574CA" opacity="12451f" o:opacity2="0f" colors="0f #F7FAFD;25559f #ECECEC;65536f #2574CA" focus="100%" focussize="0,0" rotate="t">
                  <o:fill type="gradientUnscaled" v:ext="backwardCompatible"/>
                </v:fill>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875030</wp:posOffset>
                </wp:positionH>
                <wp:positionV relativeFrom="paragraph">
                  <wp:posOffset>9070975</wp:posOffset>
                </wp:positionV>
                <wp:extent cx="6804025" cy="0"/>
                <wp:effectExtent l="0" t="0" r="0" b="0"/>
                <wp:wrapNone/>
                <wp:docPr id="26" name="直接连接符 25"/>
                <wp:cNvGraphicFramePr/>
                <a:graphic xmlns:a="http://schemas.openxmlformats.org/drawingml/2006/main">
                  <a:graphicData uri="http://schemas.microsoft.com/office/word/2010/wordprocessingShape">
                    <wps:wsp>
                      <wps:cNvCnPr/>
                      <wps:spPr>
                        <a:xfrm flipH="1">
                          <a:off x="875030" y="9070975"/>
                          <a:ext cx="6804025" cy="0"/>
                        </a:xfrm>
                        <a:prstGeom prst="line">
                          <a:avLst/>
                        </a:prstGeom>
                        <a:ln>
                          <a:gradFill>
                            <a:gsLst>
                              <a:gs pos="0">
                                <a:srgbClr val="BCE7F7">
                                  <a:alpha val="0"/>
                                </a:srgbClr>
                              </a:gs>
                              <a:gs pos="52000">
                                <a:srgbClr val="87A7B8"/>
                              </a:gs>
                              <a:gs pos="100000">
                                <a:schemeClr val="accent1">
                                  <a:lumMod val="30000"/>
                                  <a:lumOff val="70000"/>
                                  <a:alpha val="0"/>
                                </a:schemeClr>
                              </a:gs>
                            </a:gsLst>
                            <a:lin ang="10800000" scaled="1"/>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5" o:spid="_x0000_s1026" o:spt="20" style="position:absolute;left:0pt;flip:x;margin-left:68.9pt;margin-top:714.25pt;height:0pt;width:535.75pt;z-index:251671552;mso-width-relative:page;mso-height-relative:page;" filled="f" stroked="t" coordsize="21600,21600" o:gfxdata="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vuAAa2AAAAA4BAAAPAAAAAAAAAAEAIAAAACIAAABkcnMvZG93bnJldi54bWxQSwEC&#10;FAAUAAAACACHTuJAQi6yD2YCAADdBAAADgAAAAAAAAABACAAAAAnAQAAZHJzL2Uyb0RvYy54bWxQ&#10;SwUGAAAAAAYABgBZAQAA/wUAAAAA&#10;">
                <v:fill on="f" focussize="0,0"/>
                <v:stroke weight="0.5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544195</wp:posOffset>
                </wp:positionH>
                <wp:positionV relativeFrom="paragraph">
                  <wp:posOffset>1924685</wp:posOffset>
                </wp:positionV>
                <wp:extent cx="6127115" cy="1334135"/>
                <wp:effectExtent l="0" t="0" r="0" b="0"/>
                <wp:wrapNone/>
                <wp:docPr id="3" name="文本框 2"/>
                <wp:cNvGraphicFramePr/>
                <a:graphic xmlns:a="http://schemas.openxmlformats.org/drawingml/2006/main">
                  <a:graphicData uri="http://schemas.microsoft.com/office/word/2010/wordprocessingShape">
                    <wps:wsp>
                      <wps:cNvSpPr txBox="1"/>
                      <wps:spPr>
                        <a:xfrm>
                          <a:off x="544195" y="1924685"/>
                          <a:ext cx="6127115" cy="1334135"/>
                        </a:xfrm>
                        <a:prstGeom prst="rect">
                          <a:avLst/>
                        </a:prstGeom>
                        <a:noFill/>
                      </wps:spPr>
                      <wps:txbx>
                        <w:txbxContent>
                          <w:p w14:paraId="1FECBD0A">
                            <w:pPr>
                              <w:rPr>
                                <w:rFonts w:hint="eastAsia"/>
                              </w:rPr>
                            </w:pPr>
                            <w:r>
                              <w:rPr>
                                <w:rFonts w:hint="eastAsia" w:ascii="汉仪大黑简" w:hAnsi="汉仪大黑简" w:eastAsia="汉仪大黑简" w:cs="汉仪大黑简"/>
                                <w:color w:val="FDBA74"/>
                                <w:kern w:val="24"/>
                                <w:sz w:val="72"/>
                                <w:szCs w:val="72"/>
                                <w:lang w:val="en-US" w:eastAsia="zh-CN"/>
                                <w14:textFill>
                                  <w14:gradFill>
                                    <w14:gsLst>
                                      <w14:gs w14:pos="35000">
                                        <w14:srgbClr w14:val="FDBA74"/>
                                      </w14:gs>
                                      <w14:gs w14:pos="74000">
                                        <w14:srgbClr w14:val="FDBA74">
                                          <w14:lumMod w14:val="45000"/>
                                          <w14:lumOff w14:val="55000"/>
                                        </w14:srgbClr>
                                      </w14:gs>
                                      <w14:gs w14:pos="90000">
                                        <w14:srgbClr w14:val="FDBA74">
                                          <w14:lumMod w14:val="45000"/>
                                          <w14:lumOff w14:val="55000"/>
                                        </w14:srgbClr>
                                      </w14:gs>
                                      <w14:gs w14:pos="100000">
                                        <w14:srgbClr w14:val="FDBA74">
                                          <w14:lumMod w14:val="30000"/>
                                          <w14:lumOff w14:val="70000"/>
                                        </w14:srgbClr>
                                      </w14:gs>
                                    </w14:gsLst>
                                    <w14:lin w14:ang="5400000" w14:scaled="0"/>
                                  </w14:gradFill>
                                </w14:textFill>
                              </w:rPr>
                              <w:t>澄迈</w:t>
                            </w:r>
                            <w:r>
                              <w:rPr>
                                <w:rFonts w:hint="eastAsia" w:ascii="汉仪大黑简" w:hAnsi="汉仪大黑简" w:eastAsia="汉仪大黑简" w:cs="汉仪大黑简"/>
                                <w:color w:val="FDBA74"/>
                                <w:kern w:val="24"/>
                                <w:sz w:val="72"/>
                                <w:szCs w:val="72"/>
                                <w14:textFill>
                                  <w14:gradFill>
                                    <w14:gsLst>
                                      <w14:gs w14:pos="35000">
                                        <w14:srgbClr w14:val="FDBA74"/>
                                      </w14:gs>
                                      <w14:gs w14:pos="74000">
                                        <w14:srgbClr w14:val="FDBA74">
                                          <w14:lumMod w14:val="45000"/>
                                          <w14:lumOff w14:val="55000"/>
                                        </w14:srgbClr>
                                      </w14:gs>
                                      <w14:gs w14:pos="90000">
                                        <w14:srgbClr w14:val="FDBA74">
                                          <w14:lumMod w14:val="45000"/>
                                          <w14:lumOff w14:val="55000"/>
                                        </w14:srgbClr>
                                      </w14:gs>
                                      <w14:gs w14:pos="100000">
                                        <w14:srgbClr w14:val="FDBA74">
                                          <w14:lumMod w14:val="30000"/>
                                          <w14:lumOff w14:val="70000"/>
                                        </w14:srgbClr>
                                      </w14:gs>
                                    </w14:gsLst>
                                    <w14:lin w14:ang="5400000" w14:scaled="0"/>
                                  </w14:gradFill>
                                </w14:textFill>
                              </w:rPr>
                              <w:t>经济圈高质量发展报告</w:t>
                            </w:r>
                          </w:p>
                        </w:txbxContent>
                      </wps:txbx>
                      <wps:bodyPr wrap="square" rtlCol="0">
                        <a:noAutofit/>
                      </wps:bodyPr>
                    </wps:wsp>
                  </a:graphicData>
                </a:graphic>
              </wp:anchor>
            </w:drawing>
          </mc:Choice>
          <mc:Fallback>
            <w:pict>
              <v:shape id="文本框 2" o:spid="_x0000_s1026" o:spt="202" type="#_x0000_t202" style="position:absolute;left:0pt;margin-left:42.85pt;margin-top:151.55pt;height:105.05pt;width:482.45pt;z-index:251661312;mso-width-relative:page;mso-height-relative:page;" filled="f" stroked="f" coordsize="21600,21600" o:gfxdata="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zT1mHYAAAACwEAAA8AAAAAAAAAAQAgAAAAIgAAAGRycy9kb3du&#10;cmV2LnhtbFBLAQIUABQAAAAIAIdO4kAyQOTWxgEAAGkDAAAOAAAAAAAAAAEAIAAAACcBAABkcnMv&#10;ZTJvRG9jLnhtbFBLBQYAAAAABgAGAFkBAABfBQAAAAA=&#10;">
                <v:fill on="f" focussize="0,0"/>
                <v:stroke on="f"/>
                <v:imagedata o:title=""/>
                <o:lock v:ext="edit" aspectratio="f"/>
                <v:textbox>
                  <w:txbxContent>
                    <w:p w14:paraId="1FECBD0A">
                      <w:pPr>
                        <w:rPr>
                          <w:rFonts w:hint="eastAsia"/>
                        </w:rPr>
                      </w:pPr>
                      <w:r>
                        <w:rPr>
                          <w:rFonts w:hint="eastAsia" w:ascii="汉仪大黑简" w:hAnsi="汉仪大黑简" w:eastAsia="汉仪大黑简" w:cs="汉仪大黑简"/>
                          <w:color w:val="FDBA74"/>
                          <w:kern w:val="24"/>
                          <w:sz w:val="72"/>
                          <w:szCs w:val="72"/>
                          <w:lang w:val="en-US" w:eastAsia="zh-CN"/>
                          <w14:textFill>
                            <w14:gradFill>
                              <w14:gsLst>
                                <w14:gs w14:pos="35000">
                                  <w14:srgbClr w14:val="FDBA74"/>
                                </w14:gs>
                                <w14:gs w14:pos="74000">
                                  <w14:srgbClr w14:val="FDBA74">
                                    <w14:lumMod w14:val="45000"/>
                                    <w14:lumOff w14:val="55000"/>
                                  </w14:srgbClr>
                                </w14:gs>
                                <w14:gs w14:pos="90000">
                                  <w14:srgbClr w14:val="FDBA74">
                                    <w14:lumMod w14:val="45000"/>
                                    <w14:lumOff w14:val="55000"/>
                                  </w14:srgbClr>
                                </w14:gs>
                                <w14:gs w14:pos="100000">
                                  <w14:srgbClr w14:val="FDBA74">
                                    <w14:lumMod w14:val="30000"/>
                                    <w14:lumOff w14:val="70000"/>
                                  </w14:srgbClr>
                                </w14:gs>
                              </w14:gsLst>
                              <w14:lin w14:ang="5400000" w14:scaled="0"/>
                            </w14:gradFill>
                          </w14:textFill>
                        </w:rPr>
                        <w:t>澄迈</w:t>
                      </w:r>
                      <w:r>
                        <w:rPr>
                          <w:rFonts w:hint="eastAsia" w:ascii="汉仪大黑简" w:hAnsi="汉仪大黑简" w:eastAsia="汉仪大黑简" w:cs="汉仪大黑简"/>
                          <w:color w:val="FDBA74"/>
                          <w:kern w:val="24"/>
                          <w:sz w:val="72"/>
                          <w:szCs w:val="72"/>
                          <w14:textFill>
                            <w14:gradFill>
                              <w14:gsLst>
                                <w14:gs w14:pos="35000">
                                  <w14:srgbClr w14:val="FDBA74"/>
                                </w14:gs>
                                <w14:gs w14:pos="74000">
                                  <w14:srgbClr w14:val="FDBA74">
                                    <w14:lumMod w14:val="45000"/>
                                    <w14:lumOff w14:val="55000"/>
                                  </w14:srgbClr>
                                </w14:gs>
                                <w14:gs w14:pos="90000">
                                  <w14:srgbClr w14:val="FDBA74">
                                    <w14:lumMod w14:val="45000"/>
                                    <w14:lumOff w14:val="55000"/>
                                  </w14:srgbClr>
                                </w14:gs>
                                <w14:gs w14:pos="100000">
                                  <w14:srgbClr w14:val="FDBA74">
                                    <w14:lumMod w14:val="30000"/>
                                    <w14:lumOff w14:val="70000"/>
                                  </w14:srgbClr>
                                </w14:gs>
                              </w14:gsLst>
                              <w14:lin w14:ang="5400000" w14:scaled="0"/>
                            </w14:gradFill>
                          </w14:textFill>
                        </w:rPr>
                        <w:t>经济圈高质量发展报告</w:t>
                      </w:r>
                    </w:p>
                  </w:txbxContent>
                </v:textbox>
              </v:shape>
            </w:pict>
          </mc:Fallback>
        </mc:AlternateContent>
      </w:r>
      <w:r>
        <w:rPr>
          <w:sz w:val="21"/>
        </w:rPr>
        <w:drawing>
          <wp:anchor distT="0" distB="0" distL="114300" distR="114300" simplePos="0" relativeHeight="251668480" behindDoc="0" locked="0" layoutInCell="1" allowOverlap="1">
            <wp:simplePos x="0" y="0"/>
            <wp:positionH relativeFrom="column">
              <wp:posOffset>-38735</wp:posOffset>
            </wp:positionH>
            <wp:positionV relativeFrom="paragraph">
              <wp:posOffset>3517265</wp:posOffset>
            </wp:positionV>
            <wp:extent cx="7756525" cy="3877945"/>
            <wp:effectExtent l="0" t="0" r="3175" b="8255"/>
            <wp:wrapNone/>
            <wp:docPr id="17" name="图片 16" descr="C:/Users/lenovo/Downloads/VCG211344694132.jpgVCG21134469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C:/Users/lenovo/Downloads/VCG211344694132.jpgVCG211344694132"/>
                    <pic:cNvPicPr>
                      <a:picLocks noChangeAspect="1"/>
                    </pic:cNvPicPr>
                  </pic:nvPicPr>
                  <pic:blipFill>
                    <a:blip r:embed="rId9"/>
                    <a:srcRect t="12468" b="12468"/>
                    <a:stretch>
                      <a:fillRect/>
                    </a:stretch>
                  </pic:blipFill>
                  <pic:spPr>
                    <a:xfrm>
                      <a:off x="-38735" y="3517265"/>
                      <a:ext cx="7756525" cy="3877945"/>
                    </a:xfrm>
                    <a:custGeom>
                      <a:avLst/>
                      <a:gdLst/>
                      <a:ahLst/>
                      <a:cxnLst>
                        <a:cxn ang="3">
                          <a:pos x="hc" y="t"/>
                        </a:cxn>
                        <a:cxn ang="cd2">
                          <a:pos x="l" y="vc"/>
                        </a:cxn>
                        <a:cxn ang="cd4">
                          <a:pos x="hc" y="b"/>
                        </a:cxn>
                        <a:cxn ang="0">
                          <a:pos x="r" y="vc"/>
                        </a:cxn>
                      </a:cxnLst>
                      <a:rect l="l" t="t" r="r" b="b"/>
                      <a:pathLst>
                        <a:path w="10885" h="6086">
                          <a:moveTo>
                            <a:pt x="10885" y="915"/>
                          </a:moveTo>
                          <a:cubicBezTo>
                            <a:pt x="10425" y="1139"/>
                            <a:pt x="9836" y="1110"/>
                            <a:pt x="8833" y="2456"/>
                          </a:cubicBezTo>
                          <a:cubicBezTo>
                            <a:pt x="8453" y="3204"/>
                            <a:pt x="7304" y="4063"/>
                            <a:pt x="5884" y="3993"/>
                          </a:cubicBezTo>
                          <a:cubicBezTo>
                            <a:pt x="5498" y="3998"/>
                            <a:pt x="4918" y="3951"/>
                            <a:pt x="4654" y="3932"/>
                          </a:cubicBezTo>
                          <a:cubicBezTo>
                            <a:pt x="4309" y="3904"/>
                            <a:pt x="3793" y="3879"/>
                            <a:pt x="3587" y="3883"/>
                          </a:cubicBezTo>
                          <a:cubicBezTo>
                            <a:pt x="1283" y="3902"/>
                            <a:pt x="745" y="5221"/>
                            <a:pt x="122" y="5954"/>
                          </a:cubicBezTo>
                          <a:lnTo>
                            <a:pt x="100" y="5986"/>
                          </a:lnTo>
                          <a:lnTo>
                            <a:pt x="78" y="6017"/>
                          </a:lnTo>
                          <a:lnTo>
                            <a:pt x="56" y="6047"/>
                          </a:lnTo>
                          <a:lnTo>
                            <a:pt x="34" y="6077"/>
                          </a:lnTo>
                          <a:lnTo>
                            <a:pt x="29" y="6085"/>
                          </a:lnTo>
                          <a:lnTo>
                            <a:pt x="0" y="6085"/>
                          </a:lnTo>
                          <a:lnTo>
                            <a:pt x="0" y="4990"/>
                          </a:lnTo>
                          <a:cubicBezTo>
                            <a:pt x="594" y="3723"/>
                            <a:pt x="2522" y="1553"/>
                            <a:pt x="6056" y="1745"/>
                          </a:cubicBezTo>
                          <a:cubicBezTo>
                            <a:pt x="9172" y="1691"/>
                            <a:pt x="10200" y="635"/>
                            <a:pt x="10755" y="119"/>
                          </a:cubicBezTo>
                          <a:cubicBezTo>
                            <a:pt x="10801" y="76"/>
                            <a:pt x="10890" y="-4"/>
                            <a:pt x="10885" y="0"/>
                          </a:cubicBezTo>
                          <a:lnTo>
                            <a:pt x="10885" y="915"/>
                          </a:lnTo>
                          <a:close/>
                        </a:path>
                      </a:pathLst>
                    </a:custGeom>
                  </pic:spPr>
                </pic:pic>
              </a:graphicData>
            </a:graphic>
          </wp:anchor>
        </w:drawing>
      </w:r>
      <w:r>
        <w:rPr>
          <w:sz w:val="21"/>
        </w:rPr>
        <w:drawing>
          <wp:anchor distT="0" distB="0" distL="114300" distR="114300" simplePos="0" relativeHeight="251667456" behindDoc="0" locked="0" layoutInCell="1" allowOverlap="1">
            <wp:simplePos x="0" y="0"/>
            <wp:positionH relativeFrom="column">
              <wp:posOffset>4880610</wp:posOffset>
            </wp:positionH>
            <wp:positionV relativeFrom="paragraph">
              <wp:posOffset>4082415</wp:posOffset>
            </wp:positionV>
            <wp:extent cx="2833370" cy="1593215"/>
            <wp:effectExtent l="0" t="0" r="5080" b="6985"/>
            <wp:wrapNone/>
            <wp:docPr id="122" name="图片 121" descr="C:/Users/Lenovo/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descr="C:/Users/Lenovo/Desktop/2.jpg2"/>
                    <pic:cNvPicPr>
                      <a:picLocks noChangeAspect="1"/>
                    </pic:cNvPicPr>
                  </pic:nvPicPr>
                  <pic:blipFill>
                    <a:blip r:embed="rId10"/>
                    <a:srcRect l="17117" t="-3590" r="-51111" b="2577"/>
                    <a:stretch>
                      <a:fillRect/>
                    </a:stretch>
                  </pic:blipFill>
                  <pic:spPr>
                    <a:xfrm flipH="1">
                      <a:off x="4880610" y="4082415"/>
                      <a:ext cx="2833370" cy="1593215"/>
                    </a:xfrm>
                    <a:custGeom>
                      <a:avLst/>
                      <a:gdLst/>
                      <a:ahLst/>
                      <a:cxnLst>
                        <a:cxn ang="3">
                          <a:pos x="hc" y="t"/>
                        </a:cxn>
                        <a:cxn ang="cd2">
                          <a:pos x="l" y="vc"/>
                        </a:cxn>
                        <a:cxn ang="cd4">
                          <a:pos x="hc" y="b"/>
                        </a:cxn>
                        <a:cxn ang="0">
                          <a:pos x="r" y="vc"/>
                        </a:cxn>
                      </a:cxnLst>
                      <a:rect l="l" t="t" r="r" b="b"/>
                      <a:pathLst>
                        <a:path w="3976" h="3176">
                          <a:moveTo>
                            <a:pt x="0" y="3176"/>
                          </a:moveTo>
                          <a:cubicBezTo>
                            <a:pt x="37" y="3166"/>
                            <a:pt x="105" y="3148"/>
                            <a:pt x="130" y="3141"/>
                          </a:cubicBezTo>
                          <a:lnTo>
                            <a:pt x="134" y="3140"/>
                          </a:lnTo>
                          <a:lnTo>
                            <a:pt x="138" y="3139"/>
                          </a:lnTo>
                          <a:lnTo>
                            <a:pt x="143" y="3138"/>
                          </a:lnTo>
                          <a:lnTo>
                            <a:pt x="147" y="3137"/>
                          </a:lnTo>
                          <a:lnTo>
                            <a:pt x="151" y="3136"/>
                          </a:lnTo>
                          <a:cubicBezTo>
                            <a:pt x="1246" y="2990"/>
                            <a:pt x="3135" y="1917"/>
                            <a:pt x="3583" y="1447"/>
                          </a:cubicBezTo>
                          <a:cubicBezTo>
                            <a:pt x="3506" y="1429"/>
                            <a:pt x="3419" y="1404"/>
                            <a:pt x="3276" y="1375"/>
                          </a:cubicBezTo>
                          <a:cubicBezTo>
                            <a:pt x="2253" y="1179"/>
                            <a:pt x="837" y="645"/>
                            <a:pt x="608" y="341"/>
                          </a:cubicBezTo>
                          <a:cubicBezTo>
                            <a:pt x="377" y="156"/>
                            <a:pt x="99" y="29"/>
                            <a:pt x="0" y="0"/>
                          </a:cubicBezTo>
                          <a:lnTo>
                            <a:pt x="0" y="3176"/>
                          </a:lnTo>
                          <a:close/>
                          <a:moveTo>
                            <a:pt x="3782" y="1297"/>
                          </a:moveTo>
                          <a:cubicBezTo>
                            <a:pt x="3833" y="1261"/>
                            <a:pt x="3916" y="1209"/>
                            <a:pt x="3925" y="1204"/>
                          </a:cubicBezTo>
                          <a:cubicBezTo>
                            <a:pt x="3956" y="1185"/>
                            <a:pt x="3974" y="1172"/>
                            <a:pt x="3975" y="1168"/>
                          </a:cubicBezTo>
                          <a:lnTo>
                            <a:pt x="3976" y="1167"/>
                          </a:lnTo>
                          <a:lnTo>
                            <a:pt x="3976" y="1165"/>
                          </a:lnTo>
                          <a:lnTo>
                            <a:pt x="3976" y="1163"/>
                          </a:lnTo>
                          <a:lnTo>
                            <a:pt x="3975" y="1161"/>
                          </a:lnTo>
                          <a:lnTo>
                            <a:pt x="3974" y="1160"/>
                          </a:lnTo>
                          <a:cubicBezTo>
                            <a:pt x="3973" y="1155"/>
                            <a:pt x="3948" y="1144"/>
                            <a:pt x="3937" y="1140"/>
                          </a:cubicBezTo>
                          <a:lnTo>
                            <a:pt x="3936" y="1139"/>
                          </a:lnTo>
                          <a:lnTo>
                            <a:pt x="3935" y="1139"/>
                          </a:lnTo>
                          <a:lnTo>
                            <a:pt x="3934" y="1138"/>
                          </a:lnTo>
                          <a:cubicBezTo>
                            <a:pt x="3909" y="1129"/>
                            <a:pt x="3833" y="1091"/>
                            <a:pt x="3798" y="1069"/>
                          </a:cubicBezTo>
                          <a:lnTo>
                            <a:pt x="3785" y="1062"/>
                          </a:lnTo>
                          <a:lnTo>
                            <a:pt x="3776" y="1056"/>
                          </a:lnTo>
                          <a:cubicBezTo>
                            <a:pt x="3771" y="1071"/>
                            <a:pt x="3762" y="1131"/>
                            <a:pt x="3762" y="1150"/>
                          </a:cubicBezTo>
                          <a:cubicBezTo>
                            <a:pt x="3762" y="1153"/>
                            <a:pt x="3762" y="1156"/>
                            <a:pt x="3762" y="1156"/>
                          </a:cubicBezTo>
                          <a:lnTo>
                            <a:pt x="3762" y="1158"/>
                          </a:lnTo>
                          <a:lnTo>
                            <a:pt x="3762" y="1160"/>
                          </a:lnTo>
                          <a:lnTo>
                            <a:pt x="3762" y="1161"/>
                          </a:lnTo>
                          <a:lnTo>
                            <a:pt x="3762" y="1163"/>
                          </a:lnTo>
                          <a:cubicBezTo>
                            <a:pt x="3762" y="1199"/>
                            <a:pt x="3783" y="1251"/>
                            <a:pt x="3798" y="1271"/>
                          </a:cubicBezTo>
                          <a:lnTo>
                            <a:pt x="3782" y="1297"/>
                          </a:lnTo>
                          <a:close/>
                        </a:path>
                      </a:pathLst>
                    </a:custGeom>
                    <a:solidFill>
                      <a:schemeClr val="accent1"/>
                    </a:solidFill>
                  </pic:spPr>
                </pic:pic>
              </a:graphicData>
            </a:graphic>
          </wp:anchor>
        </w:drawing>
      </w:r>
      <w:r>
        <w:rPr>
          <w:sz w:val="21"/>
        </w:rPr>
        <w:drawing>
          <wp:anchor distT="0" distB="0" distL="114300" distR="114300" simplePos="0" relativeHeight="251665408" behindDoc="0" locked="0" layoutInCell="1" allowOverlap="1">
            <wp:simplePos x="0" y="0"/>
            <wp:positionH relativeFrom="column">
              <wp:posOffset>1905</wp:posOffset>
            </wp:positionH>
            <wp:positionV relativeFrom="paragraph">
              <wp:posOffset>3520440</wp:posOffset>
            </wp:positionV>
            <wp:extent cx="7695565" cy="3848100"/>
            <wp:effectExtent l="0" t="0" r="635" b="0"/>
            <wp:wrapNone/>
            <wp:docPr id="29" name="图片 28" descr="C:/Users/lenovo/Downloads/VCG211344694132.jpgVCG21134469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C:/Users/lenovo/Downloads/VCG211344694132.jpgVCG211344694132"/>
                    <pic:cNvPicPr>
                      <a:picLocks noChangeAspect="1"/>
                    </pic:cNvPicPr>
                  </pic:nvPicPr>
                  <pic:blipFill>
                    <a:blip r:embed="rId9"/>
                    <a:srcRect t="12464" b="12464"/>
                    <a:stretch>
                      <a:fillRect/>
                    </a:stretch>
                  </pic:blipFill>
                  <pic:spPr>
                    <a:xfrm>
                      <a:off x="1905" y="3520440"/>
                      <a:ext cx="7695565" cy="3848100"/>
                    </a:xfrm>
                    <a:custGeom>
                      <a:avLst/>
                      <a:gdLst/>
                      <a:ahLst/>
                      <a:cxnLst>
                        <a:cxn ang="3">
                          <a:pos x="hc" y="t"/>
                        </a:cxn>
                        <a:cxn ang="cd2">
                          <a:pos x="l" y="vc"/>
                        </a:cxn>
                        <a:cxn ang="cd4">
                          <a:pos x="hc" y="b"/>
                        </a:cxn>
                        <a:cxn ang="0">
                          <a:pos x="r" y="vc"/>
                        </a:cxn>
                      </a:cxnLst>
                      <a:rect l="l" t="t" r="r" b="b"/>
                      <a:pathLst>
                        <a:path w="10800" h="5997">
                          <a:moveTo>
                            <a:pt x="2501" y="1253"/>
                          </a:moveTo>
                          <a:cubicBezTo>
                            <a:pt x="2740" y="1253"/>
                            <a:pt x="3002" y="1275"/>
                            <a:pt x="3290" y="1326"/>
                          </a:cubicBezTo>
                          <a:cubicBezTo>
                            <a:pt x="4139" y="1477"/>
                            <a:pt x="5174" y="1891"/>
                            <a:pt x="6208" y="2353"/>
                          </a:cubicBezTo>
                          <a:lnTo>
                            <a:pt x="6227" y="2361"/>
                          </a:lnTo>
                          <a:lnTo>
                            <a:pt x="6218" y="2364"/>
                          </a:lnTo>
                          <a:cubicBezTo>
                            <a:pt x="5966" y="2449"/>
                            <a:pt x="5826" y="2514"/>
                            <a:pt x="5380" y="2872"/>
                          </a:cubicBezTo>
                          <a:cubicBezTo>
                            <a:pt x="4666" y="3445"/>
                            <a:pt x="4457" y="4353"/>
                            <a:pt x="3312" y="4985"/>
                          </a:cubicBezTo>
                          <a:cubicBezTo>
                            <a:pt x="2310" y="5538"/>
                            <a:pt x="1117" y="5858"/>
                            <a:pt x="85" y="5987"/>
                          </a:cubicBezTo>
                          <a:lnTo>
                            <a:pt x="0" y="5997"/>
                          </a:lnTo>
                          <a:lnTo>
                            <a:pt x="0" y="2210"/>
                          </a:lnTo>
                          <a:lnTo>
                            <a:pt x="86" y="2190"/>
                          </a:lnTo>
                          <a:cubicBezTo>
                            <a:pt x="521" y="1998"/>
                            <a:pt x="1131" y="1256"/>
                            <a:pt x="2501" y="1253"/>
                          </a:cubicBezTo>
                          <a:close/>
                          <a:moveTo>
                            <a:pt x="10800" y="0"/>
                          </a:moveTo>
                          <a:lnTo>
                            <a:pt x="10800" y="4266"/>
                          </a:lnTo>
                          <a:lnTo>
                            <a:pt x="10785" y="4261"/>
                          </a:lnTo>
                          <a:cubicBezTo>
                            <a:pt x="10566" y="4182"/>
                            <a:pt x="10252" y="4065"/>
                            <a:pt x="9790" y="3917"/>
                          </a:cubicBezTo>
                          <a:cubicBezTo>
                            <a:pt x="8916" y="3637"/>
                            <a:pt x="7684" y="3020"/>
                            <a:pt x="6430" y="2452"/>
                          </a:cubicBezTo>
                          <a:lnTo>
                            <a:pt x="6227" y="2361"/>
                          </a:lnTo>
                          <a:lnTo>
                            <a:pt x="6237" y="2358"/>
                          </a:lnTo>
                          <a:cubicBezTo>
                            <a:pt x="6384" y="2308"/>
                            <a:pt x="6572" y="2249"/>
                            <a:pt x="6880" y="2122"/>
                          </a:cubicBezTo>
                          <a:cubicBezTo>
                            <a:pt x="7735" y="1767"/>
                            <a:pt x="8871" y="1522"/>
                            <a:pt x="9653" y="1099"/>
                          </a:cubicBezTo>
                          <a:cubicBezTo>
                            <a:pt x="10435" y="676"/>
                            <a:pt x="10445" y="263"/>
                            <a:pt x="10790" y="8"/>
                          </a:cubicBezTo>
                          <a:lnTo>
                            <a:pt x="10800" y="0"/>
                          </a:lnTo>
                          <a:close/>
                        </a:path>
                      </a:pathLst>
                    </a:custGeom>
                  </pic:spPr>
                </pic:pic>
              </a:graphicData>
            </a:graphic>
          </wp:anchor>
        </w:drawing>
      </w:r>
      <w:r>
        <w:rPr>
          <w:sz w:val="21"/>
        </w:rPr>
        <mc:AlternateContent>
          <mc:Choice Requires="wps">
            <w:drawing>
              <wp:anchor distT="0" distB="0" distL="114300" distR="114300" simplePos="0" relativeHeight="251664384" behindDoc="0" locked="0" layoutInCell="1" allowOverlap="1">
                <wp:simplePos x="0" y="0"/>
                <wp:positionH relativeFrom="column">
                  <wp:posOffset>-215265</wp:posOffset>
                </wp:positionH>
                <wp:positionV relativeFrom="paragraph">
                  <wp:posOffset>5450840</wp:posOffset>
                </wp:positionV>
                <wp:extent cx="4169410" cy="2640330"/>
                <wp:effectExtent l="0" t="301625" r="0" b="315595"/>
                <wp:wrapNone/>
                <wp:docPr id="30" name="任意多边形 29"/>
                <wp:cNvGraphicFramePr/>
                <a:graphic xmlns:a="http://schemas.openxmlformats.org/drawingml/2006/main">
                  <a:graphicData uri="http://schemas.microsoft.com/office/word/2010/wordprocessingShape">
                    <wps:wsp>
                      <wps:cNvSpPr/>
                      <wps:spPr>
                        <a:xfrm rot="21060000">
                          <a:off x="-215265" y="5450840"/>
                          <a:ext cx="4169410" cy="2640330"/>
                        </a:xfrm>
                        <a:custGeom>
                          <a:avLst/>
                          <a:gdLst>
                            <a:gd name="connisteX0" fmla="*/ 576360 w 4820313"/>
                            <a:gd name="connsiteY0" fmla="*/ 962729 h 2449289"/>
                            <a:gd name="connisteX1" fmla="*/ 2697260 w 4820313"/>
                            <a:gd name="connsiteY1" fmla="*/ 226764 h 2449289"/>
                            <a:gd name="connisteX2" fmla="*/ 4270155 w 4820313"/>
                            <a:gd name="connsiteY2" fmla="*/ 53409 h 2449289"/>
                            <a:gd name="connisteX3" fmla="*/ 4731800 w 4820313"/>
                            <a:gd name="connsiteY3" fmla="*/ 198189 h 2449289"/>
                            <a:gd name="connisteX4" fmla="*/ 3043335 w 4820313"/>
                            <a:gd name="connsiteY4" fmla="*/ 1698694 h 2449289"/>
                            <a:gd name="connisteX5" fmla="*/ 171865 w 4820313"/>
                            <a:gd name="connsiteY5" fmla="*/ 2434659 h 2449289"/>
                            <a:gd name="connisteX6" fmla="*/ 503970 w 4820313"/>
                            <a:gd name="connsiteY6" fmla="*/ 1222444 h 2449289"/>
                            <a:gd name="connisteX7" fmla="*/ 503970 w 4820313"/>
                            <a:gd name="connsiteY7" fmla="*/ 948124 h 244928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5851" h="3705">
                              <a:moveTo>
                                <a:pt x="5760" y="0"/>
                              </a:moveTo>
                              <a:cubicBezTo>
                                <a:pt x="5885" y="2"/>
                                <a:pt x="5893" y="69"/>
                                <a:pt x="5712" y="312"/>
                              </a:cubicBezTo>
                              <a:cubicBezTo>
                                <a:pt x="5326" y="830"/>
                                <a:pt x="4489" y="1971"/>
                                <a:pt x="3053" y="2675"/>
                              </a:cubicBezTo>
                              <a:cubicBezTo>
                                <a:pt x="2178" y="3104"/>
                                <a:pt x="987" y="3496"/>
                                <a:pt x="9" y="3703"/>
                              </a:cubicBezTo>
                              <a:lnTo>
                                <a:pt x="0" y="3705"/>
                              </a:lnTo>
                              <a:lnTo>
                                <a:pt x="423" y="1038"/>
                              </a:lnTo>
                              <a:lnTo>
                                <a:pt x="463" y="1022"/>
                              </a:lnTo>
                              <a:cubicBezTo>
                                <a:pt x="1117" y="778"/>
                                <a:pt x="1872" y="513"/>
                                <a:pt x="2508" y="357"/>
                              </a:cubicBezTo>
                              <a:cubicBezTo>
                                <a:pt x="3671" y="71"/>
                                <a:pt x="4344" y="93"/>
                                <a:pt x="4985" y="84"/>
                              </a:cubicBezTo>
                              <a:cubicBezTo>
                                <a:pt x="5325" y="79"/>
                                <a:pt x="5618" y="-2"/>
                                <a:pt x="5760" y="0"/>
                              </a:cubicBezTo>
                              <a:close/>
                            </a:path>
                          </a:pathLst>
                        </a:custGeom>
                        <a:solidFill>
                          <a:srgbClr val="FDBA74">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id="任意多边形 29" o:spid="_x0000_s1026" o:spt="100" style="position:absolute;left:0pt;margin-left:-16.95pt;margin-top:429.2pt;height:207.9pt;width:328.3pt;rotation:-589824f;z-index:251664384;v-text-anchor:middle;mso-width-relative:page;mso-height-relative:page;" fillcolor="#FDBA74" filled="t" stroked="f" coordsize="5851,3705" o:gfxdata="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sUmpqt0AAAAMAQAADwAAAAAAAAAB&#10;ACAAAAAiAAAAZHJzL2Rvd25yZXYueG1sUEsBAhQAFAAAAAgAh07iQJntYVl+BAAA6AwAAA4AAAAA&#10;AAAAAQAgAAAALAEAAGRycy9lMm9Eb2MueG1sUEsFBgAAAAAGAAYAWQEAABwIAAAAAA==&#10;" path="m5760,0c5885,2,5893,69,5712,312c5326,830,4489,1971,3053,2675c2178,3104,987,3496,9,3703l0,3705,423,1038,463,1022c1117,778,1872,513,2508,357c3671,71,4344,93,4985,84c5325,79,5618,-2,5760,0xe">
                <v:path o:connectlocs="498532,1037820;2333039,244451;3693541,57574;4092849,213647;2632383,1831189;148657,2624558;435917,1317792;435917,1022076" o:connectangles="0,0,0,0,0,0,0,0"/>
                <v:fill on="t" opacity="45219f"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4080510</wp:posOffset>
                </wp:positionH>
                <wp:positionV relativeFrom="paragraph">
                  <wp:posOffset>2962275</wp:posOffset>
                </wp:positionV>
                <wp:extent cx="3653790" cy="2515235"/>
                <wp:effectExtent l="0" t="0" r="3810" b="18415"/>
                <wp:wrapNone/>
                <wp:docPr id="84" name="任意多边形 83"/>
                <wp:cNvGraphicFramePr/>
                <a:graphic xmlns:a="http://schemas.openxmlformats.org/drawingml/2006/main">
                  <a:graphicData uri="http://schemas.microsoft.com/office/word/2010/wordprocessingShape">
                    <wps:wsp>
                      <wps:cNvSpPr/>
                      <wps:spPr>
                        <a:xfrm flipH="1" flipV="1">
                          <a:off x="4080510" y="2962275"/>
                          <a:ext cx="3653790" cy="2515235"/>
                        </a:xfrm>
                        <a:custGeom>
                          <a:avLst/>
                          <a:gdLst>
                            <a:gd name="connisteX0" fmla="*/ 576360 w 4820313"/>
                            <a:gd name="connsiteY0" fmla="*/ 962729 h 2449289"/>
                            <a:gd name="connisteX1" fmla="*/ 2697260 w 4820313"/>
                            <a:gd name="connsiteY1" fmla="*/ 226764 h 2449289"/>
                            <a:gd name="connisteX2" fmla="*/ 4270155 w 4820313"/>
                            <a:gd name="connsiteY2" fmla="*/ 53409 h 2449289"/>
                            <a:gd name="connisteX3" fmla="*/ 4731800 w 4820313"/>
                            <a:gd name="connsiteY3" fmla="*/ 198189 h 2449289"/>
                            <a:gd name="connisteX4" fmla="*/ 3043335 w 4820313"/>
                            <a:gd name="connsiteY4" fmla="*/ 1698694 h 2449289"/>
                            <a:gd name="connisteX5" fmla="*/ 171865 w 4820313"/>
                            <a:gd name="connsiteY5" fmla="*/ 2434659 h 2449289"/>
                            <a:gd name="connisteX6" fmla="*/ 503970 w 4820313"/>
                            <a:gd name="connsiteY6" fmla="*/ 1222444 h 2449289"/>
                            <a:gd name="connisteX7" fmla="*/ 503970 w 4820313"/>
                            <a:gd name="connsiteY7" fmla="*/ 948124 h 244928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5128" h="3530">
                              <a:moveTo>
                                <a:pt x="5037" y="0"/>
                              </a:moveTo>
                              <a:cubicBezTo>
                                <a:pt x="5162" y="2"/>
                                <a:pt x="5170" y="69"/>
                                <a:pt x="4989" y="312"/>
                              </a:cubicBezTo>
                              <a:cubicBezTo>
                                <a:pt x="4603" y="830"/>
                                <a:pt x="3766" y="1971"/>
                                <a:pt x="2330" y="2675"/>
                              </a:cubicBezTo>
                              <a:cubicBezTo>
                                <a:pt x="1679" y="2994"/>
                                <a:pt x="854" y="3293"/>
                                <a:pt x="71" y="3510"/>
                              </a:cubicBezTo>
                              <a:lnTo>
                                <a:pt x="0" y="3530"/>
                              </a:lnTo>
                              <a:lnTo>
                                <a:pt x="0" y="926"/>
                              </a:lnTo>
                              <a:lnTo>
                                <a:pt x="26" y="917"/>
                              </a:lnTo>
                              <a:cubicBezTo>
                                <a:pt x="607" y="705"/>
                                <a:pt x="1239" y="491"/>
                                <a:pt x="1785" y="357"/>
                              </a:cubicBezTo>
                              <a:cubicBezTo>
                                <a:pt x="2948" y="71"/>
                                <a:pt x="3621" y="93"/>
                                <a:pt x="4262" y="84"/>
                              </a:cubicBezTo>
                              <a:cubicBezTo>
                                <a:pt x="4602" y="79"/>
                                <a:pt x="4895" y="-2"/>
                                <a:pt x="5037" y="0"/>
                              </a:cubicBezTo>
                              <a:close/>
                            </a:path>
                          </a:pathLst>
                        </a:custGeom>
                        <a:solidFill>
                          <a:srgbClr val="FDBA74">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id="任意多边形 83" o:spid="_x0000_s1026" o:spt="100" style="position:absolute;left:0pt;flip:x y;margin-left:321.3pt;margin-top:233.25pt;height:198.05pt;width:287.7pt;z-index:251663360;v-text-anchor:middle;mso-width-relative:page;mso-height-relative:page;" fillcolor="#FDBA74" filled="t" stroked="f" coordsize="5128,3530" o:gfxdata="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" path="m5037,0c5162,2,5170,69,4989,312c4603,830,3766,1971,2330,2675c1679,2994,854,3293,71,3510l0,3530,0,926,26,917c607,705,1239,491,1785,357c2948,71,3621,93,4262,84c4602,79,4895,-2,5037,0xe">
                <v:path o:connectlocs="436880,988650;2044519,232869;3236771,54847;3586697,203525;2306843,1744430;130273,2500211;382008,1255357;382008,973651" o:connectangles="0,0,0,0,0,0,0,0"/>
                <v:fill on="t" opacity="45219f"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5732145</wp:posOffset>
                </wp:positionV>
                <wp:extent cx="4493895" cy="3048000"/>
                <wp:effectExtent l="0" t="574675" r="0" b="606425"/>
                <wp:wrapNone/>
                <wp:docPr id="2" name="任意多边形 1"/>
                <wp:cNvGraphicFramePr/>
                <a:graphic xmlns:a="http://schemas.openxmlformats.org/drawingml/2006/main">
                  <a:graphicData uri="http://schemas.microsoft.com/office/word/2010/wordprocessingShape">
                    <wps:wsp>
                      <wps:cNvSpPr/>
                      <wps:spPr>
                        <a:xfrm rot="20580000">
                          <a:off x="-571500" y="5732145"/>
                          <a:ext cx="4493895" cy="3048000"/>
                        </a:xfrm>
                        <a:custGeom>
                          <a:avLst/>
                          <a:gdLst>
                            <a:gd name="connisteX0" fmla="*/ 576360 w 4820313"/>
                            <a:gd name="connsiteY0" fmla="*/ 962729 h 2449289"/>
                            <a:gd name="connisteX1" fmla="*/ 2697260 w 4820313"/>
                            <a:gd name="connsiteY1" fmla="*/ 226764 h 2449289"/>
                            <a:gd name="connisteX2" fmla="*/ 4270155 w 4820313"/>
                            <a:gd name="connsiteY2" fmla="*/ 53409 h 2449289"/>
                            <a:gd name="connisteX3" fmla="*/ 4731800 w 4820313"/>
                            <a:gd name="connsiteY3" fmla="*/ 198189 h 2449289"/>
                            <a:gd name="connisteX4" fmla="*/ 3043335 w 4820313"/>
                            <a:gd name="connsiteY4" fmla="*/ 1698694 h 2449289"/>
                            <a:gd name="connisteX5" fmla="*/ 171865 w 4820313"/>
                            <a:gd name="connsiteY5" fmla="*/ 2434659 h 2449289"/>
                            <a:gd name="connisteX6" fmla="*/ 503970 w 4820313"/>
                            <a:gd name="connsiteY6" fmla="*/ 1222444 h 2449289"/>
                            <a:gd name="connisteX7" fmla="*/ 503970 w 4820313"/>
                            <a:gd name="connsiteY7" fmla="*/ 948124 h 244928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6307" h="4277">
                              <a:moveTo>
                                <a:pt x="6197" y="0"/>
                              </a:moveTo>
                              <a:cubicBezTo>
                                <a:pt x="6347" y="2"/>
                                <a:pt x="6357" y="83"/>
                                <a:pt x="6140" y="375"/>
                              </a:cubicBezTo>
                              <a:cubicBezTo>
                                <a:pt x="5676" y="996"/>
                                <a:pt x="4672" y="2366"/>
                                <a:pt x="2948" y="3211"/>
                              </a:cubicBezTo>
                              <a:cubicBezTo>
                                <a:pt x="2127" y="3613"/>
                                <a:pt x="1075" y="3988"/>
                                <a:pt x="95" y="4252"/>
                              </a:cubicBezTo>
                              <a:lnTo>
                                <a:pt x="0" y="4277"/>
                              </a:lnTo>
                              <a:lnTo>
                                <a:pt x="1066" y="791"/>
                              </a:lnTo>
                              <a:lnTo>
                                <a:pt x="1075" y="788"/>
                              </a:lnTo>
                              <a:cubicBezTo>
                                <a:pt x="1495" y="648"/>
                                <a:pt x="1912" y="522"/>
                                <a:pt x="2294" y="429"/>
                              </a:cubicBezTo>
                              <a:cubicBezTo>
                                <a:pt x="3690" y="85"/>
                                <a:pt x="4498" y="112"/>
                                <a:pt x="5267" y="101"/>
                              </a:cubicBezTo>
                              <a:cubicBezTo>
                                <a:pt x="5675" y="95"/>
                                <a:pt x="6027" y="-2"/>
                                <a:pt x="6197" y="0"/>
                              </a:cubicBezTo>
                              <a:close/>
                            </a:path>
                          </a:pathLst>
                        </a:custGeom>
                        <a:solidFill>
                          <a:srgbClr val="FDBA74">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id="任意多边形 1" o:spid="_x0000_s1026" o:spt="100" style="position:absolute;left:0pt;margin-left:-45pt;margin-top:451.35pt;height:240pt;width:353.85pt;rotation:-1114112f;z-index:251662336;v-text-anchor:middle;mso-width-relative:page;mso-height-relative:page;" fillcolor="#FDBA74" filled="t" stroked="f" coordsize="6307,4277" o:gfxdata="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" path="m6197,0c6347,2,6357,83,6140,375c5676,996,4672,2366,2948,3211c2127,3613,1075,3988,95,4252l0,4277,1066,791,1075,788c1495,648,1912,522,2294,429c3690,85,4498,112,5267,101c5675,95,6027,-2,6197,0xe">
                <v:path o:connectlocs="537330,1198061;2514609,282194;3980992,66464;4411375,246634;2837248,2113927;160226,3029793;469842,1521261;469842,1179886" o:connectangles="0,0,0,0,0,0,0,0"/>
                <v:fill on="t" opacity="45219f" focussize="0,0"/>
                <v:stroke on="f" weight="1pt" miterlimit="8" joinstyle="miter"/>
                <v:imagedata o:title=""/>
                <o:lock v:ext="edit" aspectratio="f"/>
              </v:shape>
            </w:pict>
          </mc:Fallback>
        </mc:AlternateContent>
      </w:r>
      <w:r>
        <w:br w:type="page"/>
      </w:r>
    </w:p>
    <w:p w14:paraId="62A266D9">
      <w:pPr>
        <w:sectPr>
          <w:pgSz w:w="11906" w:h="16838"/>
          <w:pgMar w:top="0" w:right="1800" w:bottom="0" w:left="0" w:header="851" w:footer="992" w:gutter="0"/>
          <w:pgNumType w:fmt="numberInDash"/>
          <w:cols w:space="425" w:num="1"/>
          <w:docGrid w:type="lines" w:linePitch="312" w:charSpace="0"/>
        </w:sectPr>
      </w:pPr>
      <w:bookmarkStart w:id="133" w:name="_GoBack"/>
      <w:bookmarkEnd w:id="133"/>
    </w:p>
    <w:p w14:paraId="04A9A22C">
      <w:r>
        <w:drawing>
          <wp:anchor distT="0" distB="0" distL="114300" distR="114300" simplePos="0" relativeHeight="251683840" behindDoc="0" locked="0" layoutInCell="1" allowOverlap="1">
            <wp:simplePos x="0" y="0"/>
            <wp:positionH relativeFrom="column">
              <wp:posOffset>4506595</wp:posOffset>
            </wp:positionH>
            <wp:positionV relativeFrom="paragraph">
              <wp:posOffset>-716280</wp:posOffset>
            </wp:positionV>
            <wp:extent cx="2265045" cy="522605"/>
            <wp:effectExtent l="0" t="0" r="1905" b="10795"/>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rcRect l="4801" t="13319" r="6389" b="6624"/>
                    <a:stretch>
                      <a:fillRect/>
                    </a:stretch>
                  </pic:blipFill>
                  <pic:spPr>
                    <a:xfrm>
                      <a:off x="0" y="0"/>
                      <a:ext cx="2265045" cy="522605"/>
                    </a:xfrm>
                    <a:prstGeom prst="rect">
                      <a:avLst/>
                    </a:prstGeom>
                  </pic:spPr>
                </pic:pic>
              </a:graphicData>
            </a:graphic>
          </wp:anchor>
        </w:drawing>
      </w:r>
      <w:r>
        <w:rPr>
          <w:sz w:val="21"/>
        </w:rPr>
        <mc:AlternateContent>
          <mc:Choice Requires="wps">
            <w:drawing>
              <wp:anchor distT="0" distB="0" distL="114300" distR="114300" simplePos="0" relativeHeight="251682816" behindDoc="1" locked="0" layoutInCell="1" allowOverlap="1">
                <wp:simplePos x="0" y="0"/>
                <wp:positionH relativeFrom="column">
                  <wp:posOffset>-680085</wp:posOffset>
                </wp:positionH>
                <wp:positionV relativeFrom="paragraph">
                  <wp:posOffset>-671195</wp:posOffset>
                </wp:positionV>
                <wp:extent cx="107950" cy="433070"/>
                <wp:effectExtent l="0" t="0" r="6350" b="5080"/>
                <wp:wrapNone/>
                <wp:docPr id="8" name="矩形 11"/>
                <wp:cNvGraphicFramePr/>
                <a:graphic xmlns:a="http://schemas.openxmlformats.org/drawingml/2006/main">
                  <a:graphicData uri="http://schemas.microsoft.com/office/word/2010/wordprocessingShape">
                    <wps:wsp>
                      <wps:cNvSpPr/>
                      <wps:spPr>
                        <a:xfrm>
                          <a:off x="-5080" y="510540"/>
                          <a:ext cx="107950" cy="433070"/>
                        </a:xfrm>
                        <a:prstGeom prst="rect">
                          <a:avLst/>
                        </a:prstGeom>
                        <a:solidFill>
                          <a:srgbClr val="4A6F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53.55pt;margin-top:-52.85pt;height:34.1pt;width:8.5pt;z-index:-251633664;v-text-anchor:middle;mso-width-relative:page;mso-height-relative:page;" fillcolor="#4A6FA5" filled="t" stroked="f" coordsize="21600,21600" o:gfxdata="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041Ac2QAAAA0BAAAPAAAAAAAAAAEAIAAAACIAAABkcnMvZG93bnJldi54&#10;bWxQSwECFAAUAAAACACHTuJAPbvCrPkBAADPAwAADgAAAAAAAAABACAAAAAoAQAAZHJzL2Uyb0Rv&#10;Yy54bWxQSwUGAAAAAAYABgBZAQAAkwUAAAAA&#10;">
                <v:fill on="t" focussize="0,0"/>
                <v:stroke on="f" weight="1pt" miterlimit="8" joinstyle="miter"/>
                <v:imagedata o:title=""/>
                <o:lock v:ext="edit" aspectratio="f"/>
              </v:rect>
            </w:pict>
          </mc:Fallback>
        </mc:AlternateContent>
      </w:r>
    </w:p>
    <w:p w14:paraId="1C394658"/>
    <w:p w14:paraId="7957C470"/>
    <w:p w14:paraId="4566411C"/>
    <w:p w14:paraId="5793880F">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SAAT</w:t>
      </w:r>
    </w:p>
    <w:p w14:paraId="1DD815A9">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方正小标宋简体" w:hAnsi="方正小标宋简体" w:eastAsia="方正小标宋简体" w:cs="方正小标宋简体"/>
          <w:b/>
          <w:bCs/>
          <w:sz w:val="44"/>
          <w:szCs w:val="44"/>
          <w:lang w:val="en-US" w:eastAsia="zh-CN"/>
        </w:rPr>
      </w:pPr>
      <w:bookmarkStart w:id="0" w:name="_Toc14273"/>
      <w:r>
        <w:rPr>
          <w:rFonts w:hint="eastAsia" w:ascii="方正小标宋简体" w:hAnsi="方正小标宋简体" w:eastAsia="方正小标宋简体" w:cs="方正小标宋简体"/>
          <w:b/>
          <w:bCs/>
          <w:sz w:val="44"/>
          <w:szCs w:val="44"/>
          <w:lang w:val="en-US" w:eastAsia="zh-CN"/>
        </w:rPr>
        <w:t>人机共研实验室报告系列</w:t>
      </w:r>
      <w:bookmarkEnd w:id="0"/>
    </w:p>
    <w:p w14:paraId="2308C5B8">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方正小标宋简体" w:hAnsi="方正小标宋简体" w:eastAsia="方正小标宋简体" w:cs="方正小标宋简体"/>
          <w:sz w:val="44"/>
          <w:szCs w:val="44"/>
          <w:lang w:val="en-US" w:eastAsia="zh-CN"/>
        </w:rPr>
      </w:pPr>
    </w:p>
    <w:p w14:paraId="1D785F8B">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rPr>
          <w:rFonts w:hint="eastAsia" w:ascii="仿宋_GB2312" w:hAnsi="仿宋_GB2312" w:eastAsia="仿宋_GB2312" w:cs="仿宋_GB2312"/>
          <w:b w:val="0"/>
          <w:bCs w:val="0"/>
          <w:sz w:val="36"/>
          <w:szCs w:val="36"/>
          <w:lang w:val="en-US" w:eastAsia="zh-CN"/>
        </w:rPr>
      </w:pPr>
      <w:r>
        <w:rPr>
          <w:rFonts w:hint="eastAsia" w:ascii="仿宋_GB2312" w:hAnsi="仿宋_GB2312" w:eastAsia="仿宋_GB2312" w:cs="仿宋_GB2312"/>
          <w:b/>
          <w:bCs/>
          <w:sz w:val="36"/>
          <w:szCs w:val="36"/>
          <w:lang w:val="en-US" w:eastAsia="zh-CN"/>
        </w:rPr>
        <w:t>总策划：</w:t>
      </w:r>
      <w:r>
        <w:rPr>
          <w:rFonts w:hint="eastAsia" w:ascii="仿宋_GB2312" w:hAnsi="仿宋_GB2312" w:eastAsia="仿宋_GB2312" w:cs="仿宋_GB2312"/>
          <w:b w:val="0"/>
          <w:bCs w:val="0"/>
          <w:sz w:val="36"/>
          <w:szCs w:val="36"/>
          <w:lang w:val="en-US" w:eastAsia="zh-CN"/>
        </w:rPr>
        <w:t>马牧集</w:t>
      </w:r>
    </w:p>
    <w:p w14:paraId="37BE3856">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rPr>
          <w:rFonts w:hint="eastAsia" w:ascii="仿宋_GB2312" w:hAnsi="仿宋_GB2312" w:eastAsia="仿宋_GB2312" w:cs="仿宋_GB2312"/>
          <w:b w:val="0"/>
          <w:bCs w:val="0"/>
          <w:sz w:val="36"/>
          <w:szCs w:val="36"/>
          <w:lang w:val="en-US" w:eastAsia="zh-CN"/>
        </w:rPr>
      </w:pPr>
      <w:r>
        <w:rPr>
          <w:rFonts w:hint="eastAsia" w:ascii="仿宋_GB2312" w:hAnsi="仿宋_GB2312" w:eastAsia="仿宋_GB2312" w:cs="仿宋_GB2312"/>
          <w:b/>
          <w:bCs/>
          <w:sz w:val="36"/>
          <w:szCs w:val="36"/>
          <w:lang w:val="en-US" w:eastAsia="zh-CN"/>
        </w:rPr>
        <w:t>总编审：</w:t>
      </w:r>
      <w:r>
        <w:rPr>
          <w:rFonts w:hint="eastAsia" w:ascii="仿宋_GB2312" w:hAnsi="仿宋_GB2312" w:eastAsia="仿宋_GB2312" w:cs="仿宋_GB2312"/>
          <w:b w:val="0"/>
          <w:bCs w:val="0"/>
          <w:sz w:val="36"/>
          <w:szCs w:val="36"/>
          <w:lang w:val="en-US" w:eastAsia="zh-CN"/>
        </w:rPr>
        <w:t>蔡恩学</w:t>
      </w:r>
    </w:p>
    <w:p w14:paraId="2D8949D4">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rPr>
          <w:rFonts w:hint="eastAsia" w:ascii="仿宋_GB2312" w:hAnsi="仿宋_GB2312" w:eastAsia="仿宋_GB2312" w:cs="仿宋_GB2312"/>
          <w:b w:val="0"/>
          <w:bCs w:val="0"/>
          <w:sz w:val="36"/>
          <w:szCs w:val="36"/>
          <w:lang w:val="en-US" w:eastAsia="zh-CN"/>
        </w:rPr>
      </w:pPr>
      <w:r>
        <w:rPr>
          <w:rFonts w:hint="eastAsia" w:ascii="仿宋_GB2312" w:hAnsi="仿宋_GB2312" w:eastAsia="仿宋_GB2312" w:cs="仿宋_GB2312"/>
          <w:b/>
          <w:bCs/>
          <w:sz w:val="36"/>
          <w:szCs w:val="36"/>
          <w:lang w:val="en-US" w:eastAsia="zh-CN"/>
        </w:rPr>
        <w:t>总编辑：</w:t>
      </w:r>
      <w:r>
        <w:rPr>
          <w:rFonts w:hint="eastAsia" w:ascii="仿宋_GB2312" w:hAnsi="仿宋_GB2312" w:eastAsia="仿宋_GB2312" w:cs="仿宋_GB2312"/>
          <w:b w:val="0"/>
          <w:bCs w:val="0"/>
          <w:sz w:val="36"/>
          <w:szCs w:val="36"/>
          <w:lang w:val="en-US" w:eastAsia="zh-CN"/>
        </w:rPr>
        <w:t>田天娥</w:t>
      </w:r>
    </w:p>
    <w:p w14:paraId="055E9417">
      <w:pPr>
        <w:keepNext w:val="0"/>
        <w:keepLines w:val="0"/>
        <w:pageBreakBefore w:val="0"/>
        <w:widowControl w:val="0"/>
        <w:kinsoku/>
        <w:wordWrap/>
        <w:overflowPunct/>
        <w:topLinePunct w:val="0"/>
        <w:autoSpaceDE/>
        <w:autoSpaceDN/>
        <w:bidi w:val="0"/>
        <w:adjustRightInd/>
        <w:snapToGrid/>
        <w:ind w:firstLine="720" w:firstLineChars="200"/>
        <w:jc w:val="center"/>
        <w:textAlignment w:val="auto"/>
        <w:rPr>
          <w:rFonts w:hint="eastAsia" w:ascii="仿宋_GB2312" w:hAnsi="仿宋_GB2312" w:eastAsia="仿宋_GB2312" w:cs="仿宋_GB2312"/>
          <w:b w:val="0"/>
          <w:bCs w:val="0"/>
          <w:sz w:val="36"/>
          <w:szCs w:val="36"/>
          <w:lang w:val="en-US" w:eastAsia="zh-CN"/>
        </w:rPr>
      </w:pPr>
    </w:p>
    <w:p w14:paraId="172DD610">
      <w:pPr>
        <w:keepNext w:val="0"/>
        <w:keepLines w:val="0"/>
        <w:pageBreakBefore w:val="0"/>
        <w:widowControl w:val="0"/>
        <w:kinsoku/>
        <w:wordWrap/>
        <w:overflowPunct/>
        <w:topLinePunct w:val="0"/>
        <w:autoSpaceDE/>
        <w:autoSpaceDN/>
        <w:bidi w:val="0"/>
        <w:adjustRightInd/>
        <w:snapToGrid/>
        <w:ind w:firstLine="1084" w:firstLineChars="300"/>
        <w:jc w:val="both"/>
        <w:textAlignment w:val="auto"/>
        <w:outlineLvl w:val="0"/>
        <w:rPr>
          <w:rFonts w:hint="eastAsia" w:ascii="仿宋_GB2312" w:hAnsi="仿宋_GB2312" w:eastAsia="仿宋_GB2312" w:cs="仿宋_GB2312"/>
          <w:b w:val="0"/>
          <w:bCs w:val="0"/>
          <w:sz w:val="36"/>
          <w:szCs w:val="36"/>
          <w:lang w:val="en-US" w:eastAsia="zh-CN"/>
        </w:rPr>
      </w:pPr>
      <w:bookmarkStart w:id="1" w:name="_Toc10686"/>
      <w:r>
        <w:rPr>
          <w:rFonts w:hint="eastAsia" w:ascii="仿宋_GB2312" w:hAnsi="仿宋_GB2312" w:eastAsia="仿宋_GB2312" w:cs="仿宋_GB2312"/>
          <w:b/>
          <w:bCs/>
          <w:sz w:val="36"/>
          <w:szCs w:val="36"/>
          <w:lang w:val="en-US" w:eastAsia="zh-CN"/>
        </w:rPr>
        <w:t>编写组：</w:t>
      </w:r>
      <w:r>
        <w:rPr>
          <w:rFonts w:hint="eastAsia" w:ascii="仿宋_GB2312" w:hAnsi="仿宋_GB2312" w:eastAsia="仿宋_GB2312" w:cs="仿宋_GB2312"/>
          <w:b w:val="0"/>
          <w:bCs w:val="0"/>
          <w:sz w:val="36"/>
          <w:szCs w:val="36"/>
          <w:lang w:val="en-US" w:eastAsia="zh-CN"/>
        </w:rPr>
        <w:t>SAAT 郭强 蔡恩学 李旭媛 田天娥 蒋云鹤</w:t>
      </w:r>
      <w:bookmarkEnd w:id="1"/>
      <w:r>
        <w:rPr>
          <w:rFonts w:hint="eastAsia" w:ascii="仿宋_GB2312" w:hAnsi="仿宋_GB2312" w:eastAsia="仿宋_GB2312" w:cs="仿宋_GB2312"/>
          <w:b w:val="0"/>
          <w:bCs w:val="0"/>
          <w:sz w:val="36"/>
          <w:szCs w:val="36"/>
          <w:lang w:val="en-US" w:eastAsia="zh-CN"/>
        </w:rPr>
        <w:t xml:space="preserve"> </w:t>
      </w:r>
    </w:p>
    <w:p w14:paraId="5B6CA3CF">
      <w:pPr>
        <w:keepNext w:val="0"/>
        <w:keepLines w:val="0"/>
        <w:pageBreakBefore w:val="0"/>
        <w:widowControl w:val="0"/>
        <w:kinsoku/>
        <w:wordWrap/>
        <w:overflowPunct/>
        <w:topLinePunct w:val="0"/>
        <w:autoSpaceDE/>
        <w:autoSpaceDN/>
        <w:bidi w:val="0"/>
        <w:adjustRightInd/>
        <w:snapToGrid/>
        <w:ind w:firstLine="1080" w:firstLineChars="300"/>
        <w:jc w:val="both"/>
        <w:textAlignment w:val="auto"/>
        <w:rPr>
          <w:rFonts w:hint="eastAsia" w:ascii="仿宋_GB2312" w:hAnsi="仿宋_GB2312" w:eastAsia="仿宋_GB2312" w:cs="仿宋_GB2312"/>
          <w:b w:val="0"/>
          <w:bCs w:val="0"/>
          <w:sz w:val="36"/>
          <w:szCs w:val="36"/>
          <w:lang w:val="en-US" w:eastAsia="zh-CN"/>
        </w:rPr>
      </w:pPr>
      <w:r>
        <w:rPr>
          <w:rFonts w:hint="eastAsia" w:ascii="仿宋_GB2312" w:hAnsi="仿宋_GB2312" w:eastAsia="仿宋_GB2312" w:cs="仿宋_GB2312"/>
          <w:b w:val="0"/>
          <w:bCs w:val="0"/>
          <w:sz w:val="36"/>
          <w:szCs w:val="36"/>
          <w:lang w:val="en-US" w:eastAsia="zh-CN"/>
        </w:rPr>
        <w:t xml:space="preserve">曲蕃夫 谭凇 贺行知 陈姝霓 李可为 黄叶萍 杨文君 </w:t>
      </w:r>
    </w:p>
    <w:p w14:paraId="3845399B">
      <w:pPr>
        <w:keepNext w:val="0"/>
        <w:keepLines w:val="0"/>
        <w:pageBreakBefore w:val="0"/>
        <w:widowControl w:val="0"/>
        <w:kinsoku/>
        <w:wordWrap/>
        <w:overflowPunct/>
        <w:topLinePunct w:val="0"/>
        <w:autoSpaceDE/>
        <w:autoSpaceDN/>
        <w:bidi w:val="0"/>
        <w:adjustRightInd/>
        <w:snapToGrid/>
        <w:ind w:firstLine="1080" w:firstLineChars="300"/>
        <w:jc w:val="both"/>
        <w:textAlignment w:val="auto"/>
        <w:rPr>
          <w:rFonts w:hint="eastAsia" w:ascii="仿宋_GB2312" w:hAnsi="仿宋_GB2312" w:eastAsia="仿宋_GB2312" w:cs="仿宋_GB2312"/>
          <w:b w:val="0"/>
          <w:bCs w:val="0"/>
          <w:sz w:val="36"/>
          <w:szCs w:val="36"/>
          <w:lang w:val="en-US" w:eastAsia="zh-CN"/>
        </w:rPr>
      </w:pPr>
      <w:r>
        <w:rPr>
          <w:rFonts w:hint="eastAsia" w:ascii="仿宋_GB2312" w:hAnsi="仿宋_GB2312" w:eastAsia="仿宋_GB2312" w:cs="仿宋_GB2312"/>
          <w:b w:val="0"/>
          <w:bCs w:val="0"/>
          <w:sz w:val="36"/>
          <w:szCs w:val="36"/>
          <w:lang w:val="en-US" w:eastAsia="zh-CN"/>
        </w:rPr>
        <w:t>赵峰峰 肖景晶 裴淑君</w:t>
      </w:r>
    </w:p>
    <w:p w14:paraId="796A2FC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14:paraId="3F4673D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14:paraId="56468C0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14:paraId="196C9A61">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14:paraId="7E4918A2">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三亚经济研究院</w:t>
      </w:r>
    </w:p>
    <w:p w14:paraId="4DE14617">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2025.10</w:t>
      </w:r>
    </w:p>
    <w:p w14:paraId="4CD67921">
      <w:pPr>
        <w:rPr>
          <w:rFonts w:hint="eastAsia" w:ascii="黑体" w:hAnsi="黑体" w:eastAsia="黑体" w:cs="黑体"/>
          <w:b w:val="0"/>
          <w:bCs w:val="0"/>
        </w:rPr>
        <w:sectPr>
          <w:pgSz w:w="11906" w:h="16838"/>
          <w:pgMar w:top="1440" w:right="1080" w:bottom="1440" w:left="1080" w:header="851" w:footer="992" w:gutter="0"/>
          <w:pgNumType w:fmt="numberInDash"/>
          <w:cols w:space="425" w:num="1"/>
          <w:docGrid w:type="lines" w:linePitch="312" w:charSpace="0"/>
        </w:sectPr>
      </w:pPr>
    </w:p>
    <w:p w14:paraId="467CD784">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r>
        <w:rPr>
          <w:sz w:val="21"/>
        </w:rPr>
        <mc:AlternateContent>
          <mc:Choice Requires="wps">
            <w:drawing>
              <wp:anchor distT="0" distB="0" distL="114300" distR="114300" simplePos="0" relativeHeight="251698176" behindDoc="1" locked="0" layoutInCell="1" allowOverlap="1">
                <wp:simplePos x="0" y="0"/>
                <wp:positionH relativeFrom="column">
                  <wp:posOffset>-680085</wp:posOffset>
                </wp:positionH>
                <wp:positionV relativeFrom="paragraph">
                  <wp:posOffset>-671195</wp:posOffset>
                </wp:positionV>
                <wp:extent cx="107950" cy="433070"/>
                <wp:effectExtent l="0" t="0" r="6350" b="11430"/>
                <wp:wrapNone/>
                <wp:docPr id="31" name="矩形 11"/>
                <wp:cNvGraphicFramePr/>
                <a:graphic xmlns:a="http://schemas.openxmlformats.org/drawingml/2006/main">
                  <a:graphicData uri="http://schemas.microsoft.com/office/word/2010/wordprocessingShape">
                    <wps:wsp>
                      <wps:cNvSpPr/>
                      <wps:spPr>
                        <a:xfrm>
                          <a:off x="0" y="0"/>
                          <a:ext cx="107950" cy="433070"/>
                        </a:xfrm>
                        <a:prstGeom prst="rect">
                          <a:avLst/>
                        </a:prstGeom>
                        <a:solidFill>
                          <a:srgbClr val="4A6F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53.55pt;margin-top:-52.85pt;height:34.1pt;width:8.5pt;z-index:-251618304;v-text-anchor:middle;mso-width-relative:page;mso-height-relative:page;" fillcolor="#4A6FA5" filled="t" stroked="f" coordsize="21600,21600" o:gfxdata="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TjUBzZAAAADQEAAA8AAAAAAAAAAQAgAAAAIgAAAGRycy9kb3ducmV2LnhtbFBLAQIUABQA&#10;AAAIAIdO4kDcxASJ7wEAAMcDAAAOAAAAAAAAAAEAIAAAACgBAABkcnMvZTJvRG9jLnhtbFBLBQYA&#10;AAAABgAGAFkBAACJBQAAAAA=&#10;">
                <v:fill on="t" focussize="0,0"/>
                <v:stroke on="f" weight="1pt" miterlimit="8" joinstyle="miter"/>
                <v:imagedata o:title=""/>
                <o:lock v:ext="edit" aspectratio="f"/>
              </v:rect>
            </w:pict>
          </mc:Fallback>
        </mc:AlternateContent>
      </w:r>
      <w:r>
        <w:rPr>
          <w:rFonts w:hint="eastAsia" w:ascii="方正小标宋简体" w:hAnsi="方正小标宋简体" w:eastAsia="方正小标宋简体" w:cs="方正小标宋简体"/>
          <w:b/>
          <w:bCs/>
          <w:sz w:val="44"/>
          <w:szCs w:val="44"/>
          <w:lang w:val="en-US" w:eastAsia="zh-CN"/>
        </w:rPr>
        <w:t>三亚经济研究院</w:t>
      </w:r>
    </w:p>
    <w:p w14:paraId="03030EA1">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人机</w:t>
      </w:r>
      <w:r>
        <w:drawing>
          <wp:anchor distT="0" distB="0" distL="114300" distR="114300" simplePos="0" relativeHeight="251699200" behindDoc="0" locked="0" layoutInCell="1" allowOverlap="1">
            <wp:simplePos x="0" y="0"/>
            <wp:positionH relativeFrom="column">
              <wp:posOffset>4506595</wp:posOffset>
            </wp:positionH>
            <wp:positionV relativeFrom="paragraph">
              <wp:posOffset>-716280</wp:posOffset>
            </wp:positionV>
            <wp:extent cx="2265045" cy="522605"/>
            <wp:effectExtent l="0" t="0" r="8255" b="10795"/>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8"/>
                    <a:srcRect l="4801" t="13319" r="6389" b="6624"/>
                    <a:stretch>
                      <a:fillRect/>
                    </a:stretch>
                  </pic:blipFill>
                  <pic:spPr>
                    <a:xfrm>
                      <a:off x="0" y="0"/>
                      <a:ext cx="2265045" cy="522605"/>
                    </a:xfrm>
                    <a:prstGeom prst="rect">
                      <a:avLst/>
                    </a:prstGeom>
                  </pic:spPr>
                </pic:pic>
              </a:graphicData>
            </a:graphic>
          </wp:anchor>
        </w:drawing>
      </w:r>
      <w:r>
        <w:rPr>
          <w:rFonts w:hint="eastAsia" w:ascii="方正小标宋简体" w:hAnsi="方正小标宋简体" w:eastAsia="方正小标宋简体" w:cs="方正小标宋简体"/>
          <w:b/>
          <w:bCs/>
          <w:sz w:val="44"/>
          <w:szCs w:val="44"/>
          <w:lang w:val="en-US" w:eastAsia="zh-CN"/>
        </w:rPr>
        <w:t>共研实验室(SAAT)</w:t>
      </w:r>
    </w:p>
    <w:p w14:paraId="12E5354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p>
    <w:p w14:paraId="294E703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亚经济研究院人机共研实验室（简称“SAAT”，即三亚经济研究院人工智能体），是研究院为学习贯彻《国务院关于深入实施“人工智能+”行动的意见》，于2025年设立并重点打造的实验研究机构。实验室立足人工智能技术赋能，旨在探索AI背景下研究机构发展与研究工作创新的新路径，通过加快研究速度、提升研究效能，为三亚高质量发展与海南自贸港建设提供快速高效的智力支撑与实践服务。​</w:t>
      </w:r>
    </w:p>
    <w:p w14:paraId="230735C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人工智能+经济研究”协同创新平台，SAAT深度依托研究院优质智库资源与海南自贸港独特政策优势，以人机共研为核心路径，将大数据分析、机器学习等前沿技术与现代经济理论深度融合，构建起技术赋能与理论支撑双轮驱动的研究体系。实验室研究领域全面覆盖高质量发展核心维度，既聚焦新质生产力、区域发展、定位发展等宏观方向，也深耕海南自贸港制度创新、海洋产业数字化转型、旅游消费升级等关键课题，精准破解区域经济发展中数据驱动决策的核心痛点，为政策制定与产业实践提供靶向性解决方案。</w:t>
      </w:r>
    </w:p>
    <w:p w14:paraId="750CE2F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实验室现有研究人员30人，实现研究院全体工作人员全覆盖，形成结构完整、专业多元的研究团队。核心出品包括</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大系列成果：《三亚高质量发展系列报告》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《海南自贸港建设人机共评矩阵》与《</w:t>
      </w:r>
      <w:r>
        <w:rPr>
          <w:rFonts w:hint="eastAsia" w:ascii="仿宋_GB2312" w:hAnsi="仿宋_GB2312" w:eastAsia="仿宋_GB2312" w:cs="仿宋_GB2312"/>
          <w:sz w:val="32"/>
          <w:szCs w:val="32"/>
          <w:lang w:val="en-US" w:eastAsia="zh-CN"/>
        </w:rPr>
        <w:t>多元智能体人机研讨报告</w:t>
      </w:r>
      <w:r>
        <w:rPr>
          <w:rFonts w:hint="eastAsia" w:ascii="仿宋_GB2312" w:hAnsi="仿宋_GB2312" w:eastAsia="仿宋_GB2312" w:cs="仿宋_GB2312"/>
          <w:sz w:val="32"/>
          <w:szCs w:val="32"/>
        </w:rPr>
        <w:t>》。其中，《三亚高质量发展系列报告》2025年版计划年底前完成 30部编写印制，预计至2026年第一季度（3月份）出品总量将达到50部，持续输出具备实操价值的研究成果。​</w:t>
      </w:r>
    </w:p>
    <w:p w14:paraId="7849BD8D">
      <w:pP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br w:type="page"/>
      </w:r>
    </w:p>
    <w:p w14:paraId="04BE9E99">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r>
        <w:rPr>
          <w:sz w:val="21"/>
        </w:rPr>
        <mc:AlternateContent>
          <mc:Choice Requires="wps">
            <w:drawing>
              <wp:anchor distT="0" distB="0" distL="114300" distR="114300" simplePos="0" relativeHeight="251684864" behindDoc="1" locked="0" layoutInCell="1" allowOverlap="1">
                <wp:simplePos x="0" y="0"/>
                <wp:positionH relativeFrom="column">
                  <wp:posOffset>-680085</wp:posOffset>
                </wp:positionH>
                <wp:positionV relativeFrom="paragraph">
                  <wp:posOffset>-671195</wp:posOffset>
                </wp:positionV>
                <wp:extent cx="107950" cy="433070"/>
                <wp:effectExtent l="0" t="0" r="6350" b="5080"/>
                <wp:wrapNone/>
                <wp:docPr id="39" name="矩形 11"/>
                <wp:cNvGraphicFramePr/>
                <a:graphic xmlns:a="http://schemas.openxmlformats.org/drawingml/2006/main">
                  <a:graphicData uri="http://schemas.microsoft.com/office/word/2010/wordprocessingShape">
                    <wps:wsp>
                      <wps:cNvSpPr/>
                      <wps:spPr>
                        <a:xfrm>
                          <a:off x="0" y="0"/>
                          <a:ext cx="107950" cy="433070"/>
                        </a:xfrm>
                        <a:prstGeom prst="rect">
                          <a:avLst/>
                        </a:prstGeom>
                        <a:solidFill>
                          <a:srgbClr val="4A6F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53.55pt;margin-top:-52.85pt;height:34.1pt;width:8.5pt;z-index:-251631616;v-text-anchor:middle;mso-width-relative:page;mso-height-relative:page;" fillcolor="#4A6FA5" filled="t" stroked="f" coordsize="21600,21600" o:gfxdata="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TjUBzZAAAADQEAAA8AAAAAAAAAAQAgAAAAIgAAAGRycy9kb3ducmV2LnhtbFBLAQIUABQA&#10;AAAIAIdO4kDNGLKI7wEAAMcDAAAOAAAAAAAAAAEAIAAAACgBAABkcnMvZTJvRG9jLnhtbFBLBQYA&#10;AAAABgAGAFkBAACJBQAAAAA=&#10;">
                <v:fill on="t" focussize="0,0"/>
                <v:stroke on="f" weight="1pt" miterlimit="8" joinstyle="miter"/>
                <v:imagedata o:title=""/>
                <o:lock v:ext="edit" aspectratio="f"/>
              </v:rect>
            </w:pict>
          </mc:Fallback>
        </mc:AlternateContent>
      </w:r>
      <w:r>
        <w:rPr>
          <w:rFonts w:hint="eastAsia" w:ascii="方正小标宋简体" w:hAnsi="方正小标宋简体" w:eastAsia="方正小标宋简体" w:cs="方正小标宋简体"/>
          <w:b/>
          <w:bCs/>
          <w:sz w:val="44"/>
          <w:szCs w:val="44"/>
          <w:lang w:val="en-US" w:eastAsia="zh-CN"/>
        </w:rPr>
        <w:t>总序</w:t>
      </w:r>
      <w:r>
        <w:drawing>
          <wp:anchor distT="0" distB="0" distL="114300" distR="114300" simplePos="0" relativeHeight="251685888" behindDoc="0" locked="0" layoutInCell="1" allowOverlap="1">
            <wp:simplePos x="0" y="0"/>
            <wp:positionH relativeFrom="column">
              <wp:posOffset>4506595</wp:posOffset>
            </wp:positionH>
            <wp:positionV relativeFrom="paragraph">
              <wp:posOffset>-716280</wp:posOffset>
            </wp:positionV>
            <wp:extent cx="2265045" cy="522605"/>
            <wp:effectExtent l="0" t="0" r="1905" b="10795"/>
            <wp:wrapNone/>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8"/>
                    <a:srcRect l="4801" t="13319" r="6389" b="6624"/>
                    <a:stretch>
                      <a:fillRect/>
                    </a:stretch>
                  </pic:blipFill>
                  <pic:spPr>
                    <a:xfrm>
                      <a:off x="0" y="0"/>
                      <a:ext cx="2265045" cy="522605"/>
                    </a:xfrm>
                    <a:prstGeom prst="rect">
                      <a:avLst/>
                    </a:prstGeom>
                  </pic:spPr>
                </pic:pic>
              </a:graphicData>
            </a:graphic>
          </wp:anchor>
        </w:drawing>
      </w:r>
    </w:p>
    <w:p w14:paraId="07561E29">
      <w:pPr>
        <w:keepNext w:val="0"/>
        <w:keepLines w:val="0"/>
        <w:pageBreakBefore w:val="0"/>
        <w:widowControl w:val="0"/>
        <w:kinsoku/>
        <w:wordWrap/>
        <w:overflowPunct/>
        <w:topLinePunct w:val="0"/>
        <w:autoSpaceDE/>
        <w:autoSpaceDN/>
        <w:bidi w:val="0"/>
        <w:adjustRightInd/>
        <w:snapToGrid/>
        <w:jc w:val="center"/>
        <w:textAlignment w:val="auto"/>
        <w:rPr>
          <w:rFonts w:hint="default" w:ascii="方正小标宋简体" w:hAnsi="方正小标宋简体" w:eastAsia="方正小标宋简体" w:cs="方正小标宋简体"/>
          <w:b/>
          <w:bCs/>
          <w:sz w:val="44"/>
          <w:szCs w:val="44"/>
          <w:lang w:val="en-US" w:eastAsia="zh-CN"/>
        </w:rPr>
      </w:pPr>
    </w:p>
    <w:p w14:paraId="478C38B2">
      <w:pPr>
        <w:pStyle w:val="9"/>
        <w:keepNext w:val="0"/>
        <w:keepLines w:val="0"/>
        <w:pageBreakBefore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在海南自贸港全岛封关运作进入倒计时的关键节点，三亚正以山海相拥的独特禀赋书写高质量发展的新篇章。这座国内唯一同时拥有热带雨林与海洋风光的城市，2024年实现地区生产总值首次突破千亿元大关，以 3.4% 的稳健增速在生态约束与经济发展的平衡中探索出特色路径。森林覆盖率保持 70.08% 的高位，新增红树林湿地 475.35 亩，生态质量指数达 75.14 的一类标准，印证了 "绿水青山就是金山银山" 的深刻实践。2615.51 万人次的过夜游客带来 904.47 亿元旅游收入，其中 75.07 万人次入境游客的消费贡献，彰显着国际旅游消费中心的强劲活力，而这一切都将在 2025 年 12 月全岛封关后迎来 "零关税" 商品税目扩大至 74% 的政策红利新机遇。</w:t>
      </w:r>
    </w:p>
    <w:p w14:paraId="69B67823">
      <w:pPr>
        <w:pStyle w:val="9"/>
        <w:keepNext w:val="0"/>
        <w:keepLines w:val="0"/>
        <w:pageBreakBefore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三亚的高质量发展之路，是生态优先、创新驱动与制度保障三维协同的生动实践。在生态保护领域，从珊瑚礁生态系统修复到热带雨林国家公园建设，构建起 "陆域 - 海岸 - 海洋" 的立体保护网络。西岛社区通过 "党建 + 网格化管理" 实现矛盾纠纷化解率 100%，将生态优势转化为治理效能的创新经验，成为基层治理的典范。产业升级方面，崖州湾科技城的崛起堪称缩影 —— 集聚 11789 家企业、2800 余名高层次人才，2023 年研发经费超 25 亿元，"先投后股" 模式成功推动 5 个深海装备与智能制造项目落地转化，使深海科技、南繁种业等新质生产力在传统旅游业之外形成全新增长极。这种产业结构的多元化转型，既体现在旅游收入的稳步增长上，更反映在货物进</w:t>
      </w:r>
      <w:r>
        <w:rPr>
          <w:sz w:val="21"/>
        </w:rPr>
        <mc:AlternateContent>
          <mc:Choice Requires="wps">
            <w:drawing>
              <wp:anchor distT="0" distB="0" distL="114300" distR="114300" simplePos="0" relativeHeight="251688960" behindDoc="1" locked="0" layoutInCell="1" allowOverlap="1">
                <wp:simplePos x="0" y="0"/>
                <wp:positionH relativeFrom="column">
                  <wp:posOffset>-680085</wp:posOffset>
                </wp:positionH>
                <wp:positionV relativeFrom="paragraph">
                  <wp:posOffset>-671195</wp:posOffset>
                </wp:positionV>
                <wp:extent cx="107950" cy="433070"/>
                <wp:effectExtent l="0" t="0" r="6350" b="5080"/>
                <wp:wrapNone/>
                <wp:docPr id="43" name="矩形 11"/>
                <wp:cNvGraphicFramePr/>
                <a:graphic xmlns:a="http://schemas.openxmlformats.org/drawingml/2006/main">
                  <a:graphicData uri="http://schemas.microsoft.com/office/word/2010/wordprocessingShape">
                    <wps:wsp>
                      <wps:cNvSpPr/>
                      <wps:spPr>
                        <a:xfrm>
                          <a:off x="0" y="0"/>
                          <a:ext cx="107950" cy="433070"/>
                        </a:xfrm>
                        <a:prstGeom prst="rect">
                          <a:avLst/>
                        </a:prstGeom>
                        <a:solidFill>
                          <a:srgbClr val="4A6F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53.55pt;margin-top:-52.85pt;height:34.1pt;width:8.5pt;z-index:-251627520;v-text-anchor:middle;mso-width-relative:page;mso-height-relative:page;" fillcolor="#4A6FA5" filled="t" stroked="f" coordsize="21600,21600" o:gfxdata="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TjUBzZAAAADQEAAA8AAAAAAAAAAQAgAAAAIgAAAGRycy9kb3ducmV2LnhtbFBLAQIUABQA&#10;AAAIAIdO4kCB78ur7wEAAMcDAAAOAAAAAAAAAAEAIAAAACgBAABkcnMvZTJvRG9jLnhtbFBLBQYA&#10;AAAABgAGAFkBAACJBQAAAAA=&#10;">
                <v:fill on="t" focussize="0,0"/>
                <v:stroke on="f" weight="1pt" miterlimit="8" joinstyle="miter"/>
                <v:imagedata o:title=""/>
                <o:lock v:ext="edit" aspectratio="f"/>
              </v:rect>
            </w:pict>
          </mc:Fallback>
        </mc:AlternateContent>
      </w:r>
      <w:r>
        <w:drawing>
          <wp:anchor distT="0" distB="0" distL="114300" distR="114300" simplePos="0" relativeHeight="251689984" behindDoc="0" locked="0" layoutInCell="1" allowOverlap="1">
            <wp:simplePos x="0" y="0"/>
            <wp:positionH relativeFrom="column">
              <wp:posOffset>4506595</wp:posOffset>
            </wp:positionH>
            <wp:positionV relativeFrom="paragraph">
              <wp:posOffset>-716280</wp:posOffset>
            </wp:positionV>
            <wp:extent cx="2265045" cy="522605"/>
            <wp:effectExtent l="0" t="0" r="1905" b="10795"/>
            <wp:wrapNone/>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8"/>
                    <a:srcRect l="4801" t="13319" r="6389" b="6624"/>
                    <a:stretch>
                      <a:fillRect/>
                    </a:stretch>
                  </pic:blipFill>
                  <pic:spPr>
                    <a:xfrm>
                      <a:off x="0" y="0"/>
                      <a:ext cx="2265045" cy="522605"/>
                    </a:xfrm>
                    <a:prstGeom prst="rect">
                      <a:avLst/>
                    </a:prstGeom>
                  </pic:spPr>
                </pic:pic>
              </a:graphicData>
            </a:graphic>
          </wp:anchor>
        </w:drawing>
      </w:r>
      <w:r>
        <w:rPr>
          <w:rFonts w:hint="eastAsia" w:ascii="仿宋_GB2312" w:hAnsi="仿宋_GB2312" w:eastAsia="仿宋_GB2312" w:cs="仿宋_GB2312"/>
          <w:b w:val="0"/>
          <w:bCs w:val="0"/>
          <w:kern w:val="2"/>
          <w:sz w:val="32"/>
          <w:szCs w:val="32"/>
          <w:lang w:val="en-US" w:eastAsia="zh-CN" w:bidi="ar-SA"/>
        </w:rPr>
        <w:t>出口 28.7%、服务进出口 54.2% 的高速增长中，展现出从 "旅游依赖" 到 "多元支撑" 的质变。</w:t>
      </w:r>
    </w:p>
    <w:p w14:paraId="653DD3CF">
      <w:pPr>
        <w:pStyle w:val="9"/>
        <w:keepNext w:val="0"/>
        <w:keepLines w:val="0"/>
        <w:pageBreakBefore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制度创新是三亚高质量发展的核心引擎。党建引领下的 "三单联动" 机制，将组织优势转化为发展动能，推动三亚经济圈形成 "产业链党委 + 区域联盟" 的协同格局。城乡居民收入分别以 3.9% 和 7.0% 的增速稳步提升，农村居民收入增速持续高于城镇，彰显发展成果更多更公平惠及全体人民。G98 环岛高速扩容段规划的 "交通轴 + 产业链 + 生态网" 架构，与 "智慧南繁 CRO 综合服务平台" 等创新载体，共同构成区域协同与科技创新的制度支撑。特别值得关注的是，三亚在知识产权特区建设、数据跨境流动等自贸港政策试验中先行先试，为制度型开放积累了宝贵经验。</w:t>
      </w:r>
    </w:p>
    <w:p w14:paraId="3AEB8ABB">
      <w:pPr>
        <w:pStyle w:val="9"/>
        <w:keepNext w:val="0"/>
        <w:keepLines w:val="0"/>
        <w:pageBreakBefore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站在新的历史起点，三亚正以 "闯" 的精神、"创" 的劲头、"干" 的作风迎接高质量发展新征程。2025 年地区生产总值增长 6.5% 的预期目标，既锚定了经济发展的稳健步伐，也承载着建设 "国际旅游消费中心、深海科技城、南繁硅谷" 的战略使命。从离岛免税政策优化到全球动植物种质资源引进中转基地建设，从深海装备研发到耐盐碱水稻育种攻关，三亚正在书写的，不仅是一座城市的成长日志，更是中国特色自由贸易港建设的鲜活样本。本报告系统梳理三亚高质量发展的实践路径与创新成果，旨在为新时代区域协调发展与绿色转型提供 "三亚方案"，见证这座热带滨海城市在国家战略中的独特价值与无限可能。</w:t>
      </w:r>
    </w:p>
    <w:p w14:paraId="56CF75F1">
      <w:pPr>
        <w:keepNext w:val="0"/>
        <w:keepLines w:val="0"/>
        <w:pageBreakBefore w:val="0"/>
        <w:kinsoku/>
        <w:wordWrap/>
        <w:overflowPunct/>
        <w:topLinePunct w:val="0"/>
        <w:autoSpaceDE/>
        <w:autoSpaceDN/>
        <w:bidi w:val="0"/>
        <w:adjustRightInd/>
        <w:snapToGrid/>
        <w:textAlignment w:val="auto"/>
        <w:sectPr>
          <w:footerReference r:id="rId3" w:type="default"/>
          <w:pgSz w:w="11906" w:h="16838"/>
          <w:pgMar w:top="1440" w:right="1080" w:bottom="1440" w:left="1080" w:header="851" w:footer="992" w:gutter="0"/>
          <w:pgNumType w:fmt="numberInDash" w:start="1"/>
          <w:cols w:space="425" w:num="1"/>
          <w:docGrid w:type="lines" w:linePitch="312" w:charSpace="0"/>
        </w:sectPr>
      </w:pPr>
    </w:p>
    <w:p w14:paraId="5CC3F0A9">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655BCD09">
      <w:pPr>
        <w:rPr>
          <w:rFonts w:hint="eastAsia" w:ascii="楷体_GB2312" w:hAnsi="楷体_GB2312" w:eastAsia="楷体_GB2312" w:cs="楷体_GB2312"/>
          <w:sz w:val="28"/>
          <w:szCs w:val="28"/>
        </w:rPr>
      </w:pPr>
    </w:p>
    <w:p w14:paraId="1CE5CD72">
      <w:pPr>
        <w:rPr>
          <w:rFonts w:hint="eastAsia" w:ascii="楷体_GB2312" w:hAnsi="楷体_GB2312" w:eastAsia="楷体_GB2312" w:cs="楷体_GB2312"/>
          <w:sz w:val="28"/>
          <w:szCs w:val="28"/>
        </w:rPr>
        <w:sectPr>
          <w:footerReference r:id="rId4" w:type="default"/>
          <w:pgSz w:w="11906" w:h="16838"/>
          <w:pgMar w:top="1440" w:right="1080" w:bottom="1440" w:left="1080" w:header="851" w:footer="992" w:gutter="0"/>
          <w:pgNumType w:fmt="numberInDash" w:start="1"/>
          <w:cols w:space="425" w:num="1"/>
          <w:docGrid w:type="lines" w:linePitch="312" w:charSpace="0"/>
        </w:sectPr>
      </w:pPr>
    </w:p>
    <w:sdt>
      <w:sdtPr>
        <w:rPr>
          <w:rFonts w:ascii="宋体" w:hAnsi="宋体" w:eastAsia="宋体" w:cstheme="minorBidi"/>
          <w:kern w:val="2"/>
          <w:sz w:val="21"/>
          <w:szCs w:val="24"/>
          <w:lang w:val="en-US" w:eastAsia="zh-CN" w:bidi="ar-SA"/>
        </w:rPr>
        <w:id w:val="147473759"/>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562CBF52">
          <w:pPr>
            <w:spacing w:before="0" w:beforeLines="0" w:after="0" w:afterLines="0" w:line="240" w:lineRule="auto"/>
            <w:ind w:left="0" w:leftChars="0" w:right="0" w:rightChars="0" w:firstLine="0" w:firstLineChars="0"/>
            <w:jc w:val="center"/>
          </w:pPr>
          <w:r>
            <w:rPr>
              <w:rFonts w:ascii="宋体" w:hAnsi="宋体" w:eastAsia="宋体"/>
              <w:sz w:val="21"/>
            </w:rPr>
            <w:t>目录</w:t>
          </w:r>
        </w:p>
        <w:p w14:paraId="1CA7F292">
          <w:pPr>
            <w:pStyle w:val="4"/>
            <w:tabs>
              <w:tab w:val="right" w:leader="dot" w:pos="9746"/>
            </w:tabs>
          </w:pPr>
          <w:r>
            <w:fldChar w:fldCharType="begin"/>
          </w:r>
          <w:r>
            <w:instrText xml:space="preserve">TOC \o "1-2" \h \u </w:instrText>
          </w:r>
          <w:r>
            <w:fldChar w:fldCharType="separate"/>
          </w:r>
        </w:p>
        <w:p w14:paraId="5EB652D2">
          <w:pPr>
            <w:ind w:firstLine="420" w:firstLineChars="200"/>
            <w:jc w:val="both"/>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一、澄迈如何进一步提升在海口经济圈的产业分工定位，避免同质化竞争？</w:t>
          </w:r>
          <w:r>
            <w:rPr>
              <w:rFonts w:hint="eastAsia" w:ascii="宋体" w:hAnsi="宋体" w:eastAsia="宋体" w:cs="宋体"/>
              <w:kern w:val="2"/>
              <w:sz w:val="21"/>
              <w:szCs w:val="28"/>
              <w:lang w:val="en-US" w:eastAsia="zh-CN" w:bidi="ar-SA"/>
            </w:rPr>
            <w:t>┈┈┈┈┈┈┈┈┈┈</w:t>
          </w:r>
          <w:r>
            <w:fldChar w:fldCharType="begin"/>
          </w:r>
          <w:r>
            <w:instrText xml:space="preserve"> PAGEREF _Toc14362 \h </w:instrText>
          </w:r>
          <w:r>
            <w:fldChar w:fldCharType="separate"/>
          </w:r>
          <w:r>
            <w:t>-</w:t>
          </w:r>
          <w:r>
            <w:fldChar w:fldCharType="begin"/>
          </w:r>
          <w:r>
            <w:instrText xml:space="preserve"> PAGEREF _Toc14362 \h </w:instrText>
          </w:r>
          <w:r>
            <w:fldChar w:fldCharType="separate"/>
          </w:r>
          <w:r>
            <w:t xml:space="preserve">- </w:t>
          </w:r>
          <w:r>
            <w:rPr>
              <w:rFonts w:hint="eastAsia"/>
              <w:lang w:val="en-US" w:eastAsia="zh-CN"/>
            </w:rPr>
            <w:t>3</w:t>
          </w:r>
          <w:r>
            <w:t xml:space="preserve"> -</w:t>
          </w:r>
          <w:r>
            <w:fldChar w:fldCharType="end"/>
          </w:r>
          <w:r>
            <w:fldChar w:fldCharType="end"/>
          </w:r>
        </w:p>
        <w:p w14:paraId="278DD041">
          <w:pPr>
            <w:keepNext w:val="0"/>
            <w:keepLines w:val="0"/>
            <w:pageBreakBefore w:val="0"/>
            <w:kinsoku/>
            <w:wordWrap/>
            <w:overflowPunct/>
            <w:topLinePunct w:val="0"/>
            <w:autoSpaceDE/>
            <w:autoSpaceDN/>
            <w:bidi w:val="0"/>
            <w:adjustRightInd/>
            <w:snapToGrid/>
            <w:ind w:firstLine="420" w:firstLineChars="200"/>
            <w:jc w:val="both"/>
            <w:textAlignment w:val="auto"/>
            <w:rPr>
              <w:rFonts w:hint="default"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二、“海澄文定” 一体化缺乏专设统筹机构，如何构建高效协调机制？</w:t>
          </w:r>
          <w:r>
            <w:rPr>
              <w:rFonts w:hint="eastAsia" w:ascii="宋体" w:hAnsi="宋体" w:eastAsia="宋体" w:cs="宋体"/>
              <w:kern w:val="2"/>
              <w:sz w:val="21"/>
              <w:szCs w:val="28"/>
              <w:lang w:val="en-US" w:eastAsia="zh-CN" w:bidi="ar-SA"/>
            </w:rPr>
            <w:t>┈┈┈┈┈┈┈┈┈┈┈</w:t>
          </w:r>
          <w:r>
            <w:fldChar w:fldCharType="begin"/>
          </w:r>
          <w:r>
            <w:instrText xml:space="preserve"> PAGEREF _Toc14362 \h </w:instrText>
          </w:r>
          <w:r>
            <w:fldChar w:fldCharType="separate"/>
          </w:r>
          <w:r>
            <w:t xml:space="preserve">- </w:t>
          </w:r>
          <w:r>
            <w:rPr>
              <w:rFonts w:hint="eastAsia"/>
              <w:lang w:val="en-US" w:eastAsia="zh-CN"/>
            </w:rPr>
            <w:t>6</w:t>
          </w:r>
          <w:r>
            <w:t xml:space="preserve"> -</w:t>
          </w:r>
          <w:r>
            <w:fldChar w:fldCharType="end"/>
          </w:r>
        </w:p>
        <w:p w14:paraId="25A2FB80">
          <w:pPr>
            <w:pStyle w:val="5"/>
            <w:tabs>
              <w:tab w:val="right" w:leader="dot" w:pos="9746"/>
            </w:tabs>
            <w:jc w:val="both"/>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三、海口综合保税区部分位于澄迈老城，税收分成（澄迈仅得 40%）如何优化？</w:t>
          </w:r>
          <w:r>
            <w:rPr>
              <w:rFonts w:hint="eastAsia" w:ascii="宋体" w:hAnsi="宋体" w:eastAsia="宋体" w:cs="宋体"/>
              <w:kern w:val="2"/>
              <w:sz w:val="21"/>
              <w:szCs w:val="28"/>
              <w:lang w:val="en-US" w:eastAsia="zh-CN" w:bidi="ar-SA"/>
            </w:rPr>
            <w:t>┈┈┈┈┈┈┈┈</w:t>
          </w:r>
          <w:r>
            <w:fldChar w:fldCharType="begin"/>
          </w:r>
          <w:r>
            <w:instrText xml:space="preserve"> PAGEREF _Toc14362 \h </w:instrText>
          </w:r>
          <w:r>
            <w:fldChar w:fldCharType="separate"/>
          </w:r>
          <w:r>
            <w:t xml:space="preserve">- </w:t>
          </w:r>
          <w:r>
            <w:rPr>
              <w:rFonts w:hint="eastAsia"/>
              <w:lang w:val="en-US" w:eastAsia="zh-CN"/>
            </w:rPr>
            <w:t>9</w:t>
          </w:r>
          <w:r>
            <w:t xml:space="preserve"> -</w:t>
          </w:r>
          <w:r>
            <w:fldChar w:fldCharType="end"/>
          </w:r>
        </w:p>
        <w:p w14:paraId="78906062">
          <w:pPr>
            <w:pStyle w:val="5"/>
            <w:tabs>
              <w:tab w:val="right" w:leader="dot" w:pos="9746"/>
            </w:tabs>
          </w:pPr>
          <w:r>
            <w:fldChar w:fldCharType="begin"/>
          </w:r>
          <w:r>
            <w:instrText xml:space="preserve"> HYPERLINK \l _Toc32209 </w:instrText>
          </w:r>
          <w:r>
            <w:fldChar w:fldCharType="separate"/>
          </w:r>
          <w:r>
            <w:rPr>
              <w:rFonts w:hint="eastAsia" w:ascii="楷体_GB2312" w:hAnsi="楷体_GB2312" w:eastAsia="楷体_GB2312" w:cs="楷体_GB2312"/>
              <w:szCs w:val="28"/>
            </w:rPr>
            <w:t>四、澄迈承接海口垃圾处理任务，生态补偿机制如何落地见效？</w:t>
          </w:r>
          <w:r>
            <w:fldChar w:fldCharType="end"/>
          </w:r>
          <w:r>
            <w:rPr>
              <w:rFonts w:hint="eastAsia" w:ascii="宋体" w:hAnsi="宋体" w:eastAsia="宋体" w:cs="宋体"/>
              <w:kern w:val="2"/>
              <w:sz w:val="21"/>
              <w:szCs w:val="28"/>
              <w:lang w:val="en-US" w:eastAsia="zh-CN" w:bidi="ar-SA"/>
            </w:rPr>
            <w:t>┈┈┈┈┈┈┈┈</w:t>
          </w:r>
          <w:r>
            <w:fldChar w:fldCharType="begin"/>
          </w:r>
          <w:r>
            <w:instrText xml:space="preserve"> PAGEREF _Toc14362 \h </w:instrText>
          </w:r>
          <w:r>
            <w:fldChar w:fldCharType="separate"/>
          </w:r>
          <w:r>
            <w:t xml:space="preserve">- </w:t>
          </w:r>
          <w:r>
            <w:rPr>
              <w:rFonts w:hint="eastAsia"/>
              <w:lang w:val="en-US" w:eastAsia="zh-CN"/>
            </w:rPr>
            <w:t>13</w:t>
          </w:r>
          <w:r>
            <w:t xml:space="preserve"> -</w:t>
          </w:r>
          <w:r>
            <w:fldChar w:fldCharType="end"/>
          </w:r>
        </w:p>
        <w:p w14:paraId="3F2B5535">
          <w:pPr>
            <w:pStyle w:val="5"/>
            <w:tabs>
              <w:tab w:val="right" w:leader="dot" w:pos="9746"/>
            </w:tabs>
          </w:pPr>
          <w:r>
            <w:fldChar w:fldCharType="begin"/>
          </w:r>
          <w:r>
            <w:instrText xml:space="preserve"> HYPERLINK \l _Toc14032 </w:instrText>
          </w:r>
          <w:r>
            <w:fldChar w:fldCharType="separate"/>
          </w:r>
          <w:r>
            <w:rPr>
              <w:rFonts w:hint="eastAsia" w:ascii="楷体_GB2312" w:hAnsi="楷体_GB2312" w:eastAsia="楷体_GB2312" w:cs="楷体_GB2312"/>
              <w:szCs w:val="28"/>
            </w:rPr>
            <w:t>五、海口复兴城与澄迈生态软件园数字经济同质化竞争如何破解？</w:t>
          </w:r>
          <w:r>
            <w:fldChar w:fldCharType="end"/>
          </w:r>
          <w:r>
            <w:rPr>
              <w:rFonts w:hint="eastAsia" w:ascii="宋体" w:hAnsi="宋体" w:eastAsia="宋体" w:cs="宋体"/>
              <w:kern w:val="2"/>
              <w:sz w:val="21"/>
              <w:szCs w:val="28"/>
              <w:lang w:val="en-US" w:eastAsia="zh-CN" w:bidi="ar-SA"/>
            </w:rPr>
            <w:t>┈┈┈┈┈┈┈┈</w:t>
          </w:r>
          <w:r>
            <w:fldChar w:fldCharType="begin"/>
          </w:r>
          <w:r>
            <w:instrText xml:space="preserve"> PAGEREF _Toc14362 \h </w:instrText>
          </w:r>
          <w:r>
            <w:fldChar w:fldCharType="separate"/>
          </w:r>
          <w:r>
            <w:t xml:space="preserve">- </w:t>
          </w:r>
          <w:r>
            <w:rPr>
              <w:rFonts w:hint="eastAsia"/>
              <w:lang w:val="en-US" w:eastAsia="zh-CN"/>
            </w:rPr>
            <w:t>17</w:t>
          </w:r>
          <w:r>
            <w:t xml:space="preserve"> -</w:t>
          </w:r>
          <w:r>
            <w:fldChar w:fldCharType="end"/>
          </w:r>
        </w:p>
        <w:p w14:paraId="0A623160">
          <w:pPr>
            <w:pStyle w:val="5"/>
            <w:tabs>
              <w:tab w:val="right" w:leader="dot" w:pos="9746"/>
            </w:tabs>
          </w:pPr>
          <w:r>
            <w:fldChar w:fldCharType="begin"/>
          </w:r>
          <w:r>
            <w:instrText xml:space="preserve"> HYPERLINK \l _Toc5708 </w:instrText>
          </w:r>
          <w:r>
            <w:fldChar w:fldCharType="separate"/>
          </w:r>
          <w:r>
            <w:rPr>
              <w:rFonts w:hint="eastAsia" w:ascii="楷体_GB2312" w:hAnsi="楷体_GB2312" w:eastAsia="楷体_GB2312" w:cs="楷体_GB2312"/>
              <w:szCs w:val="28"/>
              <w:lang w:val="en-US" w:eastAsia="zh-CN"/>
            </w:rPr>
            <w:t>六</w:t>
          </w:r>
          <w:r>
            <w:rPr>
              <w:rFonts w:hint="eastAsia" w:ascii="楷体_GB2312" w:hAnsi="楷体_GB2312" w:eastAsia="楷体_GB2312" w:cs="楷体_GB2312"/>
              <w:szCs w:val="28"/>
            </w:rPr>
            <w:t>、海口经济圈城际轨道交通规划滞后，澄迈应如何主动推动建设？</w:t>
          </w:r>
          <w:r>
            <w:fldChar w:fldCharType="end"/>
          </w:r>
          <w:r>
            <w:rPr>
              <w:rFonts w:hint="eastAsia" w:ascii="宋体" w:hAnsi="宋体" w:eastAsia="宋体" w:cs="宋体"/>
              <w:kern w:val="2"/>
              <w:sz w:val="21"/>
              <w:szCs w:val="28"/>
              <w:lang w:val="en-US" w:eastAsia="zh-CN" w:bidi="ar-SA"/>
            </w:rPr>
            <w:t>┈┈┈┈┈┈┈┈</w:t>
          </w:r>
          <w:r>
            <w:fldChar w:fldCharType="begin"/>
          </w:r>
          <w:r>
            <w:instrText xml:space="preserve"> PAGEREF _Toc14362 \h </w:instrText>
          </w:r>
          <w:r>
            <w:fldChar w:fldCharType="separate"/>
          </w:r>
          <w:r>
            <w:t xml:space="preserve">- </w:t>
          </w:r>
          <w:r>
            <w:rPr>
              <w:rFonts w:hint="eastAsia"/>
              <w:lang w:val="en-US" w:eastAsia="zh-CN"/>
            </w:rPr>
            <w:t>21</w:t>
          </w:r>
          <w:r>
            <w:t xml:space="preserve"> -</w:t>
          </w:r>
          <w:r>
            <w:fldChar w:fldCharType="end"/>
          </w:r>
        </w:p>
        <w:p w14:paraId="0EE8E55D">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七、澄迈油服产业如何与海口港、文昌航天港形成 “陆海空” 产业联动？</w:t>
          </w:r>
          <w:r>
            <w:rPr>
              <w:rFonts w:hint="eastAsia" w:ascii="宋体" w:hAnsi="宋体" w:eastAsia="宋体" w:cs="宋体"/>
              <w:kern w:val="2"/>
              <w:sz w:val="21"/>
              <w:szCs w:val="28"/>
              <w:lang w:val="en-US" w:eastAsia="zh-CN" w:bidi="ar-SA"/>
            </w:rPr>
            <w:t>┈┈┈┈┈┈┈┈</w:t>
          </w:r>
          <w:r>
            <w:fldChar w:fldCharType="begin"/>
          </w:r>
          <w:r>
            <w:instrText xml:space="preserve"> PAGEREF _Toc14362 \h </w:instrText>
          </w:r>
          <w:r>
            <w:fldChar w:fldCharType="separate"/>
          </w:r>
          <w:r>
            <w:t xml:space="preserve">- </w:t>
          </w:r>
          <w:r>
            <w:rPr>
              <w:rFonts w:hint="eastAsia"/>
              <w:lang w:val="en-US" w:eastAsia="zh-CN"/>
            </w:rPr>
            <w:t>25</w:t>
          </w:r>
          <w:r>
            <w:t xml:space="preserve"> -</w:t>
          </w:r>
          <w:r>
            <w:fldChar w:fldCharType="end"/>
          </w:r>
        </w:p>
        <w:p w14:paraId="44D5915D">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八、澄迈热带农产品如何深度融入海口 “菜篮子” 保障体系，提升供应链稳定性？</w:t>
          </w:r>
          <w:r>
            <w:rPr>
              <w:rFonts w:hint="eastAsia" w:ascii="宋体" w:hAnsi="宋体" w:eastAsia="宋体" w:cs="宋体"/>
              <w:kern w:val="2"/>
              <w:sz w:val="21"/>
              <w:szCs w:val="28"/>
              <w:lang w:val="en-US" w:eastAsia="zh-CN" w:bidi="ar-SA"/>
            </w:rPr>
            <w:t>┈┈┈┈┈┈</w:t>
          </w:r>
          <w:r>
            <w:fldChar w:fldCharType="begin"/>
          </w:r>
          <w:r>
            <w:instrText xml:space="preserve"> PAGEREF _Toc14362 \h </w:instrText>
          </w:r>
          <w:r>
            <w:fldChar w:fldCharType="separate"/>
          </w:r>
          <w:r>
            <w:t xml:space="preserve">- </w:t>
          </w:r>
          <w:r>
            <w:rPr>
              <w:rFonts w:hint="eastAsia"/>
              <w:lang w:val="en-US" w:eastAsia="zh-CN"/>
            </w:rPr>
            <w:t>29</w:t>
          </w:r>
          <w:r>
            <w:t>-</w:t>
          </w:r>
          <w:r>
            <w:fldChar w:fldCharType="end"/>
          </w:r>
        </w:p>
        <w:p w14:paraId="68ED6907">
          <w:pPr>
            <w:ind w:firstLine="420" w:firstLineChars="200"/>
            <w:rPr>
              <w:rFonts w:hint="eastAsia" w:ascii="宋体" w:hAnsi="宋体" w:eastAsia="宋体" w:cs="宋体"/>
              <w:kern w:val="2"/>
              <w:sz w:val="21"/>
              <w:szCs w:val="28"/>
              <w:lang w:val="en-US" w:eastAsia="zh-CN" w:bidi="ar-SA"/>
            </w:rPr>
          </w:pPr>
          <w:r>
            <w:rPr>
              <w:rFonts w:hint="eastAsia" w:ascii="楷体_GB2312" w:hAnsi="楷体_GB2312" w:eastAsia="楷体_GB2312" w:cs="楷体_GB2312"/>
              <w:kern w:val="2"/>
              <w:sz w:val="21"/>
              <w:szCs w:val="28"/>
              <w:lang w:val="en-US" w:eastAsia="zh-CN" w:bidi="ar-SA"/>
            </w:rPr>
            <w:t>九、澄迈物流产业如何对接马村港三期与美兰国际机场，打造区域物流枢纽？</w:t>
          </w:r>
          <w:r>
            <w:rPr>
              <w:rFonts w:hint="eastAsia" w:ascii="宋体" w:hAnsi="宋体" w:eastAsia="宋体" w:cs="宋体"/>
              <w:kern w:val="2"/>
              <w:sz w:val="21"/>
              <w:szCs w:val="28"/>
              <w:lang w:val="en-US" w:eastAsia="zh-CN" w:bidi="ar-SA"/>
            </w:rPr>
            <w:t>┈┈┈┈┈┈┈┈</w:t>
          </w:r>
          <w:r>
            <w:t xml:space="preserve">- </w:t>
          </w:r>
          <w:r>
            <w:rPr>
              <w:rFonts w:hint="eastAsia"/>
              <w:lang w:val="en-US" w:eastAsia="zh-CN"/>
            </w:rPr>
            <w:t>32</w:t>
          </w:r>
          <w:r>
            <w:t xml:space="preserve"> -</w:t>
          </w:r>
        </w:p>
        <w:p w14:paraId="1DA864DD">
          <w:pPr>
            <w:ind w:firstLine="420" w:firstLineChars="200"/>
          </w:pPr>
          <w:r>
            <w:fldChar w:fldCharType="begin"/>
          </w:r>
          <w:r>
            <w:instrText xml:space="preserve"> HYPERLINK \l _Toc20485 </w:instrText>
          </w:r>
          <w:r>
            <w:fldChar w:fldCharType="separate"/>
          </w:r>
          <w:r>
            <w:rPr>
              <w:rFonts w:hint="eastAsia" w:ascii="楷体_GB2312" w:hAnsi="楷体_GB2312" w:eastAsia="楷体_GB2312" w:cs="楷体_GB2312"/>
              <w:szCs w:val="28"/>
              <w:lang w:val="en-US" w:eastAsia="zh-CN"/>
            </w:rPr>
            <w:t>十</w:t>
          </w:r>
          <w:r>
            <w:rPr>
              <w:rFonts w:hint="eastAsia" w:ascii="楷体_GB2312" w:hAnsi="楷体_GB2312" w:eastAsia="楷体_GB2312" w:cs="楷体_GB2312"/>
              <w:szCs w:val="28"/>
            </w:rPr>
            <w:t>、澄迈数据跨境流动试点如何延伸至油气服务、农业等领域？</w:t>
          </w:r>
          <w:r>
            <w:fldChar w:fldCharType="end"/>
          </w:r>
          <w:r>
            <w:rPr>
              <w:rFonts w:hint="eastAsia" w:ascii="宋体" w:hAnsi="宋体" w:eastAsia="宋体" w:cs="宋体"/>
              <w:kern w:val="2"/>
              <w:sz w:val="21"/>
              <w:szCs w:val="28"/>
              <w:lang w:val="en-US" w:eastAsia="zh-CN" w:bidi="ar-SA"/>
            </w:rPr>
            <w:t>┈┈┈┈┈┈┈┈</w:t>
          </w:r>
          <w:r>
            <w:t xml:space="preserve">- </w:t>
          </w:r>
          <w:r>
            <w:rPr>
              <w:rFonts w:hint="eastAsia"/>
              <w:lang w:val="en-US" w:eastAsia="zh-CN"/>
            </w:rPr>
            <w:t>36</w:t>
          </w:r>
          <w:r>
            <w:t xml:space="preserve"> - </w:t>
          </w:r>
        </w:p>
        <w:p w14:paraId="4BE41D1C">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十一、澄迈如何引进外国领事馆、国际组织分支机构，提升国际化水平？</w:t>
          </w:r>
          <w:r>
            <w:rPr>
              <w:rFonts w:hint="eastAsia" w:ascii="宋体" w:hAnsi="宋体" w:eastAsia="宋体" w:cs="宋体"/>
              <w:kern w:val="2"/>
              <w:sz w:val="21"/>
              <w:szCs w:val="28"/>
              <w:lang w:val="en-US" w:eastAsia="zh-CN" w:bidi="ar-SA"/>
            </w:rPr>
            <w:t>┈┈┈┈┈┈┈┈</w:t>
          </w:r>
          <w:r>
            <w:t>-</w:t>
          </w:r>
          <w:r>
            <w:rPr>
              <w:rFonts w:hint="eastAsia"/>
              <w:lang w:val="en-US" w:eastAsia="zh-CN"/>
            </w:rPr>
            <w:t>39</w:t>
          </w:r>
          <w:r>
            <w:t xml:space="preserve"> - </w:t>
          </w:r>
        </w:p>
        <w:p w14:paraId="77811891">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十二、海口三甲医院资源如何更高效向澄迈辐射，完善分级诊疗体系？</w:t>
          </w:r>
          <w:r>
            <w:rPr>
              <w:rFonts w:hint="eastAsia" w:ascii="宋体" w:hAnsi="宋体" w:eastAsia="宋体" w:cs="宋体"/>
              <w:kern w:val="2"/>
              <w:sz w:val="21"/>
              <w:szCs w:val="28"/>
              <w:lang w:val="en-US" w:eastAsia="zh-CN" w:bidi="ar-SA"/>
            </w:rPr>
            <w:t>┈┈┈┈┈┈┈┈</w:t>
          </w:r>
          <w:r>
            <w:t>-</w:t>
          </w:r>
          <w:r>
            <w:rPr>
              <w:rFonts w:hint="eastAsia"/>
              <w:lang w:val="en-US" w:eastAsia="zh-CN"/>
            </w:rPr>
            <w:t>43</w:t>
          </w:r>
          <w:r>
            <w:t xml:space="preserve"> </w:t>
          </w:r>
        </w:p>
        <w:p w14:paraId="6AC35F06">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十三、澄迈如何整合福山咖啡、桥头地瓜等资源，融入海口经济圈精品旅游线路？</w:t>
          </w:r>
          <w:r>
            <w:rPr>
              <w:rFonts w:hint="eastAsia" w:ascii="宋体" w:hAnsi="宋体" w:eastAsia="宋体" w:cs="宋体"/>
              <w:kern w:val="2"/>
              <w:sz w:val="21"/>
              <w:szCs w:val="28"/>
              <w:lang w:val="en-US" w:eastAsia="zh-CN" w:bidi="ar-SA"/>
            </w:rPr>
            <w:t>┈┈┈┈┈┈┈┈</w:t>
          </w:r>
          <w:r>
            <w:t>-</w:t>
          </w:r>
          <w:r>
            <w:rPr>
              <w:rFonts w:hint="eastAsia"/>
              <w:lang w:val="en-US" w:eastAsia="zh-CN"/>
            </w:rPr>
            <w:t>46</w:t>
          </w:r>
          <w:r>
            <w:t xml:space="preserve"> </w:t>
          </w:r>
        </w:p>
        <w:p w14:paraId="64149FF9">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_Toc4275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十四、澄迈工业用地地均税收如何进一步提升至全国平均水平？</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w:t>
          </w:r>
          <w:r>
            <w:rPr>
              <w:rFonts w:hint="eastAsia"/>
              <w:lang w:val="en-US" w:eastAsia="zh-CN"/>
            </w:rPr>
            <w:t>50</w:t>
          </w:r>
          <w:r>
            <w:t xml:space="preserve"> </w:t>
          </w:r>
        </w:p>
        <w:p w14:paraId="445FA4B2">
          <w:pPr>
            <w:ind w:firstLine="420" w:firstLineChars="200"/>
            <w:rPr>
              <w:rFonts w:hint="default"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十五、浙琼合作产业园如何实现 “跨省产业链协同”，形成可复制模式？</w:t>
          </w:r>
          <w:r>
            <w:rPr>
              <w:rFonts w:hint="eastAsia" w:ascii="宋体" w:hAnsi="宋体" w:eastAsia="宋体" w:cs="宋体"/>
              <w:kern w:val="2"/>
              <w:sz w:val="21"/>
              <w:szCs w:val="28"/>
              <w:lang w:val="en-US" w:eastAsia="zh-CN" w:bidi="ar-SA"/>
            </w:rPr>
            <w:t>┈┈┈┈┈┈┈┈</w:t>
          </w:r>
          <w:r>
            <w:t>-</w:t>
          </w:r>
          <w:r>
            <w:rPr>
              <w:rFonts w:hint="eastAsia"/>
              <w:lang w:val="en-US" w:eastAsia="zh-CN"/>
            </w:rPr>
            <w:t>54</w:t>
          </w:r>
        </w:p>
        <w:p w14:paraId="5AB1D3FB">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_Toc26365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十六、澄迈蓝碳资源如何核算定价，融入海南自贸港碳交易市场？</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 xml:space="preserve">- </w:t>
          </w:r>
          <w:r>
            <w:rPr>
              <w:rFonts w:hint="eastAsia"/>
              <w:lang w:val="en-US" w:eastAsia="zh-CN"/>
            </w:rPr>
            <w:t>59</w:t>
          </w:r>
          <w:r>
            <w:t xml:space="preserve"> </w:t>
          </w:r>
        </w:p>
        <w:p w14:paraId="27264682">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十七、澄迈生态软件园如何吸引高端研发人才，突破 “重运营、轻研发” 瓶颈？</w:t>
          </w:r>
          <w:r>
            <w:rPr>
              <w:rFonts w:hint="eastAsia" w:ascii="宋体" w:hAnsi="宋体" w:eastAsia="宋体" w:cs="宋体"/>
              <w:kern w:val="2"/>
              <w:sz w:val="21"/>
              <w:szCs w:val="28"/>
              <w:lang w:val="en-US" w:eastAsia="zh-CN" w:bidi="ar-SA"/>
            </w:rPr>
            <w:t>┈┈┈┈┈┈┈┈</w:t>
          </w:r>
          <w:r>
            <w:t xml:space="preserve">- </w:t>
          </w:r>
          <w:r>
            <w:rPr>
              <w:rFonts w:hint="eastAsia"/>
              <w:lang w:val="en-US" w:eastAsia="zh-CN"/>
            </w:rPr>
            <w:t>63</w:t>
          </w:r>
          <w:r>
            <w:t xml:space="preserve"> </w:t>
          </w:r>
        </w:p>
        <w:p w14:paraId="13E57075">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_Toc24302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十八、澄迈油气服务产业核心技术国产化的关键瓶颈与突破路径</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w:t>
          </w:r>
          <w:r>
            <w:rPr>
              <w:rFonts w:hint="eastAsia"/>
              <w:lang w:val="en-US" w:eastAsia="zh-CN"/>
            </w:rPr>
            <w:t>67</w:t>
          </w:r>
          <w:r>
            <w:t xml:space="preserve"> </w:t>
          </w:r>
        </w:p>
        <w:p w14:paraId="38004169">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_Toc31388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十九、澄迈如何利用自贸港政策，吸引跨境数字服务企业集聚</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 xml:space="preserve">- </w:t>
          </w:r>
          <w:r>
            <w:rPr>
              <w:rFonts w:hint="eastAsia"/>
              <w:lang w:val="en-US" w:eastAsia="zh-CN"/>
            </w:rPr>
            <w:t>70</w:t>
          </w:r>
          <w:r>
            <w:t xml:space="preserve"> </w:t>
          </w:r>
        </w:p>
        <w:p w14:paraId="6A9AEF60">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_Toc15325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二十、海口经济圈教育资源共建共享，澄迈如何提升本土学校办学质量</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rPr>
              <w:rFonts w:hint="eastAsia" w:eastAsia="宋体"/>
              <w:lang w:val="en-US" w:eastAsia="zh-CN"/>
            </w:rPr>
            <w:t>73</w:t>
          </w:r>
          <w:r>
            <w:t xml:space="preserve"> </w:t>
          </w:r>
        </w:p>
        <w:p w14:paraId="201A5A40">
          <w:pPr>
            <w:ind w:firstLine="420" w:firstLineChars="200"/>
            <w:rPr>
              <w:rFonts w:hint="default" w:ascii="楷体_GB2312" w:hAnsi="楷体_GB2312" w:cs="楷体_GB2312" w:eastAsiaTheme="minorEastAsia"/>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_Toc7720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二十一、澄迈农村居民收入增速高于城镇的可持续性如何保障</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 xml:space="preserve">- </w:t>
          </w:r>
          <w:r>
            <w:rPr>
              <w:rFonts w:hint="eastAsia"/>
              <w:lang w:val="en-US" w:eastAsia="zh-CN"/>
            </w:rPr>
            <w:t>77</w:t>
          </w:r>
        </w:p>
        <w:p w14:paraId="572F484A">
          <w:pPr>
            <w:ind w:firstLine="420" w:firstLineChars="200"/>
            <w:rPr>
              <w:rFonts w:hint="default"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_Toc23362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二十二、澄迈如何防范数字经济发展中的数据安全风险</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 xml:space="preserve">- </w:t>
          </w:r>
          <w:r>
            <w:rPr>
              <w:rFonts w:hint="eastAsia"/>
              <w:lang w:val="en-US" w:eastAsia="zh-CN"/>
            </w:rPr>
            <w:t>81</w:t>
          </w:r>
        </w:p>
        <w:p w14:paraId="4A4506D1">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_Toc116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二十三、马村港如何与洋浦港协同发展，避免重复建设</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w:t>
          </w:r>
          <w:r>
            <w:rPr>
              <w:rFonts w:hint="eastAsia"/>
              <w:lang w:val="en-US" w:eastAsia="zh-CN"/>
            </w:rPr>
            <w:t>85</w:t>
          </w:r>
          <w:r>
            <w:t xml:space="preserve"> </w:t>
          </w:r>
        </w:p>
        <w:p w14:paraId="114EB16B">
          <w:pPr>
            <w:ind w:firstLine="420" w:firstLineChars="200"/>
            <w:rPr>
              <w:rFonts w:hint="default" w:ascii="楷体_GB2312" w:hAnsi="楷体_GB2312" w:cs="楷体_GB2312" w:eastAsiaTheme="minorEastAsia"/>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_Toc4702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二十四、澄迈热带农业品牌如何拓展东南亚市场，提升国际竞争力？</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 xml:space="preserve">- </w:t>
          </w:r>
          <w:r>
            <w:rPr>
              <w:rFonts w:hint="eastAsia"/>
              <w:lang w:val="en-US" w:eastAsia="zh-CN"/>
            </w:rPr>
            <w:t>88</w:t>
          </w:r>
        </w:p>
        <w:p w14:paraId="3C5DF0F3">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_Toc1825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二十五、澄迈如何利用浙琼合作契机，承接浙江智能制造产业转移？</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rPr>
              <w:rFonts w:hint="eastAsia" w:eastAsia="宋体"/>
              <w:lang w:val="en-US" w:eastAsia="zh-CN"/>
            </w:rPr>
            <w:t>92</w:t>
          </w:r>
          <w:r>
            <w:t xml:space="preserve"> </w:t>
          </w:r>
        </w:p>
        <w:p w14:paraId="08A4E10E">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二十六、澄迈 “政企会客厅” 机制如何常态化，提升问题办结质效？</w:t>
          </w:r>
          <w:r>
            <w:rPr>
              <w:rFonts w:hint="eastAsia" w:ascii="宋体" w:hAnsi="宋体" w:eastAsia="宋体" w:cs="宋体"/>
              <w:kern w:val="2"/>
              <w:sz w:val="21"/>
              <w:szCs w:val="28"/>
              <w:lang w:val="en-US" w:eastAsia="zh-CN" w:bidi="ar-SA"/>
            </w:rPr>
            <w:t>┈┈┈┈┈┈┈┈</w:t>
          </w:r>
          <w:r>
            <w:t>-</w:t>
          </w:r>
          <w:r>
            <w:rPr>
              <w:rFonts w:hint="eastAsia"/>
              <w:lang w:val="en-US" w:eastAsia="zh-CN"/>
            </w:rPr>
            <w:t>96</w:t>
          </w:r>
          <w:r>
            <w:t xml:space="preserve"> </w:t>
          </w:r>
        </w:p>
        <w:p w14:paraId="46859401">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_Toc8643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二十七、澄迈如何破解油服产业专业人才短缺，建立长效引育机制？</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 xml:space="preserve">- </w:t>
          </w:r>
          <w:r>
            <w:rPr>
              <w:rFonts w:hint="eastAsia"/>
              <w:lang w:val="en-US" w:eastAsia="zh-CN"/>
            </w:rPr>
            <w:t>100</w:t>
          </w:r>
          <w:r>
            <w:t xml:space="preserve"> </w:t>
          </w:r>
        </w:p>
        <w:p w14:paraId="73D44F84">
          <w:pPr>
            <w:ind w:firstLine="420" w:firstLineChars="200"/>
            <w:rPr>
              <w:rFonts w:hint="default" w:ascii="楷体_GB2312" w:hAnsi="楷体_GB2312" w:cs="楷体_GB2312" w:eastAsiaTheme="minorEastAsia"/>
              <w:kern w:val="2"/>
              <w:sz w:val="21"/>
              <w:szCs w:val="28"/>
              <w:lang w:val="en-US" w:eastAsia="zh-CN" w:bidi="ar-SA"/>
            </w:rPr>
          </w:pPr>
          <w:r>
            <w:rPr>
              <w:rFonts w:hint="eastAsia" w:ascii="楷体_GB2312" w:hAnsi="楷体_GB2312" w:eastAsia="楷体_GB2312" w:cs="楷体_GB2312"/>
              <w:kern w:val="2"/>
              <w:sz w:val="21"/>
              <w:szCs w:val="28"/>
              <w:lang w:val="en-US" w:eastAsia="zh-CN" w:bidi="ar-SA"/>
            </w:rPr>
            <w:t>二十八、海口经济圈社保 “圈内通办” 如何扩大覆盖范围，提升便捷度？</w:t>
          </w:r>
          <w:r>
            <w:rPr>
              <w:rFonts w:hint="eastAsia" w:ascii="宋体" w:hAnsi="宋体" w:eastAsia="宋体" w:cs="宋体"/>
              <w:kern w:val="2"/>
              <w:sz w:val="21"/>
              <w:szCs w:val="28"/>
              <w:lang w:val="en-US" w:eastAsia="zh-CN" w:bidi="ar-SA"/>
            </w:rPr>
            <w:t>┈┈┈┈┈┈┈┈</w:t>
          </w:r>
          <w:r>
            <w:t xml:space="preserve">- </w:t>
          </w:r>
          <w:r>
            <w:rPr>
              <w:rFonts w:hint="eastAsia"/>
              <w:lang w:val="en-US" w:eastAsia="zh-CN"/>
            </w:rPr>
            <w:t>1044</w:t>
          </w:r>
        </w:p>
        <w:p w14:paraId="45227ECA">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二十九、澄迈如何推动美丽乡村与乡村旅游深度融合，避免同质化开发？</w:t>
          </w:r>
          <w:r>
            <w:rPr>
              <w:rFonts w:hint="eastAsia" w:ascii="宋体" w:hAnsi="宋体" w:eastAsia="宋体" w:cs="宋体"/>
              <w:kern w:val="2"/>
              <w:sz w:val="21"/>
              <w:szCs w:val="28"/>
              <w:lang w:val="en-US" w:eastAsia="zh-CN" w:bidi="ar-SA"/>
            </w:rPr>
            <w:t>┈┈┈┈┈┈┈┈</w:t>
          </w:r>
          <w:r>
            <w:t>-</w:t>
          </w:r>
          <w:r>
            <w:rPr>
              <w:rFonts w:hint="eastAsia"/>
              <w:lang w:val="en-US" w:eastAsia="zh-CN"/>
            </w:rPr>
            <w:t>108</w:t>
          </w:r>
          <w:r>
            <w:t xml:space="preserve"> </w:t>
          </w:r>
        </w:p>
        <w:p w14:paraId="544E5AAA">
          <w:pPr>
            <w:ind w:firstLine="420" w:firstLineChars="200"/>
          </w:pPr>
          <w:r>
            <w:rPr>
              <w:rFonts w:hint="eastAsia" w:ascii="楷体_GB2312" w:hAnsi="楷体_GB2312" w:eastAsia="楷体_GB2312" w:cs="楷体_GB2312"/>
              <w:kern w:val="2"/>
              <w:sz w:val="21"/>
              <w:szCs w:val="28"/>
              <w:lang w:val="en-US" w:eastAsia="zh-CN" w:bidi="ar-SA"/>
            </w:rPr>
            <w:t>三十、澄迈工业固废资源化利用如何拓展至更多领域，提升综合效益？</w:t>
          </w:r>
          <w:r>
            <w:rPr>
              <w:rFonts w:hint="eastAsia" w:ascii="宋体" w:hAnsi="宋体" w:eastAsia="宋体" w:cs="宋体"/>
              <w:kern w:val="2"/>
              <w:sz w:val="21"/>
              <w:szCs w:val="28"/>
              <w:lang w:val="en-US" w:eastAsia="zh-CN" w:bidi="ar-SA"/>
            </w:rPr>
            <w:t>┈┈┈┈┈┈┈┈</w:t>
          </w:r>
          <w:r>
            <w:t>-</w:t>
          </w:r>
          <w:r>
            <w:rPr>
              <w:rFonts w:hint="eastAsia"/>
              <w:lang w:val="en-US" w:eastAsia="zh-CN"/>
            </w:rPr>
            <w:t>112</w:t>
          </w:r>
          <w:r>
            <w:t xml:space="preserve"> </w:t>
          </w:r>
        </w:p>
        <w:p w14:paraId="7A579898">
          <w:pPr>
            <w:pStyle w:val="5"/>
            <w:tabs>
              <w:tab w:val="right" w:leader="dot" w:pos="9746"/>
            </w:tabs>
          </w:pPr>
          <w:r>
            <w:fldChar w:fldCharType="begin"/>
          </w:r>
          <w:r>
            <w:instrText xml:space="preserve"> HYPERLINK \l _Toc17931 </w:instrText>
          </w:r>
          <w:r>
            <w:fldChar w:fldCharType="separate"/>
          </w:r>
          <w:r>
            <w:rPr>
              <w:rFonts w:hint="eastAsia" w:ascii="楷体_GB2312" w:hAnsi="楷体_GB2312" w:eastAsia="楷体_GB2312" w:cs="楷体_GB2312"/>
              <w:szCs w:val="28"/>
              <w:lang w:val="en-US" w:eastAsia="zh-CN"/>
            </w:rPr>
            <w:t>三十一</w:t>
          </w:r>
          <w:r>
            <w:rPr>
              <w:rFonts w:hint="eastAsia" w:ascii="楷体_GB2312" w:hAnsi="楷体_GB2312" w:eastAsia="楷体_GB2312" w:cs="楷体_GB2312"/>
              <w:szCs w:val="28"/>
            </w:rPr>
            <w:t>、澄迈数据跨境流动白名单如何扩容，服务更多产业场景？</w:t>
          </w:r>
          <w:r>
            <w:fldChar w:fldCharType="end"/>
          </w:r>
          <w:r>
            <w:rPr>
              <w:rFonts w:hint="eastAsia" w:ascii="宋体" w:hAnsi="宋体" w:eastAsia="宋体" w:cs="宋体"/>
              <w:kern w:val="2"/>
              <w:sz w:val="21"/>
              <w:szCs w:val="28"/>
              <w:lang w:val="en-US" w:eastAsia="zh-CN" w:bidi="ar-SA"/>
            </w:rPr>
            <w:t>┈┈┈┈┈┈┈┈</w:t>
          </w:r>
          <w:r>
            <w:t xml:space="preserve">- </w:t>
          </w:r>
          <w:r>
            <w:rPr>
              <w:rFonts w:hint="eastAsia"/>
              <w:lang w:val="en-US" w:eastAsia="zh-CN"/>
            </w:rPr>
            <w:t>115</w:t>
          </w:r>
          <w:r>
            <w:t xml:space="preserve"> </w:t>
          </w:r>
        </w:p>
        <w:p w14:paraId="6B12592A">
          <w:pPr>
            <w:pStyle w:val="5"/>
            <w:tabs>
              <w:tab w:val="right" w:leader="dot" w:pos="9746"/>
            </w:tabs>
            <w:rPr>
              <w:rFonts w:hint="default" w:eastAsiaTheme="minorEastAsia"/>
              <w:lang w:val="en-US" w:eastAsia="zh-CN"/>
            </w:rPr>
          </w:pPr>
          <w:r>
            <w:fldChar w:fldCharType="begin"/>
          </w:r>
          <w:r>
            <w:instrText xml:space="preserve"> HYPERLINK \l _Toc8150 </w:instrText>
          </w:r>
          <w:r>
            <w:fldChar w:fldCharType="separate"/>
          </w:r>
          <w:r>
            <w:rPr>
              <w:rFonts w:hint="eastAsia" w:ascii="楷体_GB2312" w:hAnsi="楷体_GB2312" w:eastAsia="楷体_GB2312" w:cs="楷体_GB2312"/>
              <w:szCs w:val="28"/>
              <w:lang w:val="en-US" w:eastAsia="zh-CN"/>
            </w:rPr>
            <w:t>三十二、澄迈如何争取更多自贸港政策试点，形成差异化优势？</w:t>
          </w:r>
          <w:r>
            <w:fldChar w:fldCharType="end"/>
          </w:r>
          <w:r>
            <w:rPr>
              <w:rFonts w:hint="eastAsia" w:ascii="宋体" w:hAnsi="宋体" w:eastAsia="宋体" w:cs="宋体"/>
              <w:kern w:val="2"/>
              <w:sz w:val="21"/>
              <w:szCs w:val="28"/>
              <w:lang w:val="en-US" w:eastAsia="zh-CN" w:bidi="ar-SA"/>
            </w:rPr>
            <w:t>┈┈┈┈┈┈┈┈</w:t>
          </w:r>
          <w:r>
            <w:t>-</w:t>
          </w:r>
          <w:r>
            <w:rPr>
              <w:rFonts w:hint="eastAsia"/>
              <w:lang w:val="en-US" w:eastAsia="zh-CN"/>
            </w:rPr>
            <w:t>120</w:t>
          </w:r>
        </w:p>
        <w:p w14:paraId="04388E7E">
          <w:pPr>
            <w:ind w:firstLine="420" w:firstLineChars="200"/>
            <w:rPr>
              <w:rFonts w:hint="default"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三十三、海口经济圈零工市场如何协同发展，保障灵活就业人员权益？</w:t>
          </w:r>
          <w:r>
            <w:rPr>
              <w:rFonts w:hint="eastAsia" w:ascii="宋体" w:hAnsi="宋体" w:eastAsia="宋体" w:cs="宋体"/>
              <w:kern w:val="2"/>
              <w:sz w:val="21"/>
              <w:szCs w:val="28"/>
              <w:lang w:val="en-US" w:eastAsia="zh-CN" w:bidi="ar-SA"/>
            </w:rPr>
            <w:t>┈┈┈┈┈┈┈┈</w:t>
          </w:r>
          <w:r>
            <w:t>-</w:t>
          </w:r>
          <w:r>
            <w:rPr>
              <w:rFonts w:hint="eastAsia"/>
              <w:lang w:val="en-US" w:eastAsia="zh-CN"/>
            </w:rPr>
            <w:t>123</w:t>
          </w:r>
        </w:p>
        <w:p w14:paraId="2395D705">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三十四、澄迈福山咖啡文化风情镇创 4A 后，如何提升运营管理水平？</w:t>
          </w:r>
          <w:r>
            <w:rPr>
              <w:rFonts w:hint="eastAsia" w:ascii="宋体" w:hAnsi="宋体" w:eastAsia="宋体" w:cs="宋体"/>
              <w:kern w:val="2"/>
              <w:sz w:val="21"/>
              <w:szCs w:val="28"/>
              <w:lang w:val="en-US" w:eastAsia="zh-CN" w:bidi="ar-SA"/>
            </w:rPr>
            <w:t>┈┈┈┈┈┈┈┈</w:t>
          </w:r>
          <w:r>
            <w:rPr>
              <w:rFonts w:hint="eastAsia" w:eastAsia="宋体"/>
              <w:lang w:val="en-US" w:eastAsia="zh-CN"/>
            </w:rPr>
            <w:t>126</w:t>
          </w:r>
          <w:r>
            <w:t xml:space="preserve"> </w:t>
          </w:r>
        </w:p>
        <w:p w14:paraId="0D6136AA">
          <w:pPr>
            <w:ind w:firstLine="420" w:firstLineChars="200"/>
          </w:pPr>
          <w:r>
            <w:rPr>
              <w:rFonts w:hint="eastAsia" w:ascii="楷体_GB2312" w:hAnsi="楷体_GB2312" w:eastAsia="楷体_GB2312" w:cs="楷体_GB2312"/>
              <w:kern w:val="2"/>
              <w:sz w:val="21"/>
              <w:szCs w:val="28"/>
              <w:lang w:val="en-US" w:eastAsia="zh-CN" w:bidi="ar-SA"/>
            </w:rPr>
            <w:t>三十五、澄迈如何推动油气服务产业与数字经济融合，打造智慧油服生态？</w:t>
          </w:r>
          <w:r>
            <w:rPr>
              <w:rFonts w:hint="eastAsia" w:ascii="宋体" w:hAnsi="宋体" w:eastAsia="宋体" w:cs="宋体"/>
              <w:kern w:val="2"/>
              <w:sz w:val="21"/>
              <w:szCs w:val="28"/>
              <w:lang w:val="en-US" w:eastAsia="zh-CN" w:bidi="ar-SA"/>
            </w:rPr>
            <w:t>┈┈┈┈┈┈┈┈</w:t>
          </w:r>
          <w:r>
            <w:t xml:space="preserve">- </w:t>
          </w:r>
          <w:r>
            <w:rPr>
              <w:rFonts w:hint="eastAsia"/>
              <w:lang w:val="en-US" w:eastAsia="zh-CN"/>
            </w:rPr>
            <w:t>130</w:t>
          </w:r>
          <w:r>
            <w:t xml:space="preserve"> </w:t>
          </w:r>
        </w:p>
        <w:p w14:paraId="213D9603">
          <w:pPr>
            <w:pStyle w:val="5"/>
            <w:tabs>
              <w:tab w:val="right" w:leader="dot" w:pos="9746"/>
            </w:tabs>
          </w:pPr>
          <w:r>
            <w:fldChar w:fldCharType="begin"/>
          </w:r>
          <w:r>
            <w:instrText xml:space="preserve"> HYPERLINK \l _Toc5374 </w:instrText>
          </w:r>
          <w:r>
            <w:fldChar w:fldCharType="separate"/>
          </w:r>
          <w:r>
            <w:rPr>
              <w:rFonts w:hint="eastAsia" w:ascii="楷体_GB2312" w:hAnsi="楷体_GB2312" w:eastAsia="楷体_GB2312" w:cs="楷体_GB2312"/>
              <w:szCs w:val="28"/>
              <w:lang w:val="en-US" w:eastAsia="zh-CN"/>
            </w:rPr>
            <w:t>三十六、澄迈如何建立农产品质量追溯体系，提升品牌公信力？</w:t>
          </w:r>
          <w:r>
            <w:fldChar w:fldCharType="end"/>
          </w:r>
          <w:r>
            <w:rPr>
              <w:rFonts w:hint="eastAsia" w:ascii="宋体" w:hAnsi="宋体" w:eastAsia="宋体" w:cs="宋体"/>
              <w:kern w:val="2"/>
              <w:sz w:val="21"/>
              <w:szCs w:val="28"/>
              <w:lang w:val="en-US" w:eastAsia="zh-CN" w:bidi="ar-SA"/>
            </w:rPr>
            <w:t>┈┈┈┈┈┈┈┈</w:t>
          </w:r>
          <w:r>
            <w:t>-</w:t>
          </w:r>
          <w:r>
            <w:rPr>
              <w:rFonts w:hint="eastAsia"/>
              <w:lang w:val="en-US" w:eastAsia="zh-CN"/>
            </w:rPr>
            <w:t>133</w:t>
          </w:r>
          <w:r>
            <w:t xml:space="preserve"> </w:t>
          </w:r>
        </w:p>
        <w:p w14:paraId="7656E019">
          <w:pPr>
            <w:pStyle w:val="5"/>
            <w:tabs>
              <w:tab w:val="right" w:leader="dot" w:pos="9746"/>
            </w:tabs>
          </w:pPr>
          <w:r>
            <w:fldChar w:fldCharType="begin"/>
          </w:r>
          <w:r>
            <w:instrText xml:space="preserve"> HYPERLINK \l _Toc27294 </w:instrText>
          </w:r>
          <w:r>
            <w:fldChar w:fldCharType="separate"/>
          </w:r>
          <w:r>
            <w:rPr>
              <w:rFonts w:hint="eastAsia" w:ascii="楷体_GB2312" w:hAnsi="楷体_GB2312" w:eastAsia="楷体_GB2312" w:cs="楷体_GB2312"/>
              <w:szCs w:val="28"/>
              <w:lang w:val="en-US" w:eastAsia="zh-CN"/>
            </w:rPr>
            <w:t>三十七、海口经济圈公共交通如何优化线路，方便澄迈居民通勤？</w:t>
          </w:r>
          <w:r>
            <w:fldChar w:fldCharType="end"/>
          </w:r>
          <w:r>
            <w:rPr>
              <w:rFonts w:hint="eastAsia" w:ascii="宋体" w:hAnsi="宋体" w:eastAsia="宋体" w:cs="宋体"/>
              <w:kern w:val="2"/>
              <w:sz w:val="21"/>
              <w:szCs w:val="28"/>
              <w:lang w:val="en-US" w:eastAsia="zh-CN" w:bidi="ar-SA"/>
            </w:rPr>
            <w:t>┈┈┈┈┈┈┈┈</w:t>
          </w:r>
          <w:r>
            <w:t>-</w:t>
          </w:r>
          <w:r>
            <w:rPr>
              <w:rFonts w:hint="eastAsia"/>
              <w:lang w:val="en-US" w:eastAsia="zh-CN"/>
            </w:rPr>
            <w:t>136</w:t>
          </w:r>
          <w:r>
            <w:t xml:space="preserve"> </w:t>
          </w:r>
        </w:p>
        <w:p w14:paraId="136F78D4">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三十八、澄迈如何利用政府投资引导基金，撬动更多社会资本参与产业升级？</w:t>
          </w:r>
          <w:r>
            <w:rPr>
              <w:rFonts w:hint="eastAsia" w:ascii="宋体" w:hAnsi="宋体" w:eastAsia="宋体" w:cs="宋体"/>
              <w:kern w:val="2"/>
              <w:sz w:val="21"/>
              <w:szCs w:val="28"/>
              <w:lang w:val="en-US" w:eastAsia="zh-CN" w:bidi="ar-SA"/>
            </w:rPr>
            <w:t>┈┈┈┈┈┈┈┈</w:t>
          </w:r>
          <w:r>
            <w:t>-</w:t>
          </w:r>
          <w:r>
            <w:rPr>
              <w:rFonts w:hint="eastAsia"/>
              <w:lang w:val="en-US" w:eastAsia="zh-CN"/>
            </w:rPr>
            <w:t>139</w:t>
          </w:r>
          <w:r>
            <w:t xml:space="preserve"> </w:t>
          </w:r>
        </w:p>
        <w:p w14:paraId="1C24D5A1">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_Toc21601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三十九、澄迈蓝碳项目如何与生态旅游结合，实现生态经济双赢？</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w:t>
          </w:r>
          <w:r>
            <w:rPr>
              <w:rFonts w:hint="eastAsia"/>
              <w:lang w:val="en-US" w:eastAsia="zh-CN"/>
            </w:rPr>
            <w:t>143</w:t>
          </w:r>
          <w:r>
            <w:t xml:space="preserve"> </w:t>
          </w:r>
        </w:p>
        <w:p w14:paraId="1C3BA3F4">
          <w:pPr>
            <w:ind w:firstLine="420" w:firstLineChars="200"/>
            <w:rPr>
              <w:rFonts w:hint="default" w:ascii="楷体_GB2312" w:hAnsi="楷体_GB2312" w:cs="楷体_GB2312" w:eastAsiaTheme="minorEastAsia"/>
              <w:kern w:val="2"/>
              <w:sz w:val="21"/>
              <w:szCs w:val="28"/>
              <w:lang w:val="en-US" w:eastAsia="zh-CN" w:bidi="ar-SA"/>
            </w:rPr>
          </w:pPr>
          <w:r>
            <w:rPr>
              <w:rFonts w:hint="eastAsia" w:ascii="楷体_GB2312" w:hAnsi="楷体_GB2312" w:eastAsia="楷体_GB2312" w:cs="楷体_GB2312"/>
              <w:kern w:val="2"/>
              <w:sz w:val="21"/>
              <w:szCs w:val="28"/>
              <w:lang w:val="en-US" w:eastAsia="zh-CN" w:bidi="ar-SA"/>
            </w:rPr>
            <w:t>四十、澄迈老城科技园区 “亩均效益” 评价如何进一步优化，激励企业转型？</w:t>
          </w:r>
          <w:r>
            <w:rPr>
              <w:rFonts w:hint="eastAsia" w:ascii="宋体" w:hAnsi="宋体" w:eastAsia="宋体" w:cs="宋体"/>
              <w:kern w:val="2"/>
              <w:sz w:val="21"/>
              <w:szCs w:val="28"/>
              <w:lang w:val="en-US" w:eastAsia="zh-CN" w:bidi="ar-SA"/>
            </w:rPr>
            <w:t>┈┈┈┈┈┈┈┈</w:t>
          </w:r>
          <w:r>
            <w:t xml:space="preserve">- </w:t>
          </w:r>
          <w:r>
            <w:rPr>
              <w:rFonts w:hint="eastAsia"/>
              <w:lang w:val="en-US" w:eastAsia="zh-CN"/>
            </w:rPr>
            <w:t>147</w:t>
          </w:r>
        </w:p>
        <w:p w14:paraId="417D6F20">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_Toc31071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四十一、澄迈如何防范台风等自然灾害风险，提升城市韧性？</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w:t>
          </w:r>
          <w:r>
            <w:rPr>
              <w:rFonts w:hint="eastAsia"/>
              <w:lang w:val="en-US" w:eastAsia="zh-CN"/>
            </w:rPr>
            <w:t>151</w:t>
          </w:r>
          <w:r>
            <w:t xml:space="preserve"> </w:t>
          </w:r>
        </w:p>
        <w:p w14:paraId="0E5BA706">
          <w:pPr>
            <w:ind w:firstLine="420" w:firstLineChars="200"/>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四十二、海口经济圈跨境电商如何与澄迈物流、农业资源结合，拓展海外市场？</w:t>
          </w:r>
          <w:r>
            <w:rPr>
              <w:rFonts w:hint="eastAsia" w:ascii="宋体" w:hAnsi="宋体" w:eastAsia="宋体" w:cs="宋体"/>
              <w:kern w:val="2"/>
              <w:sz w:val="21"/>
              <w:szCs w:val="28"/>
              <w:lang w:val="en-US" w:eastAsia="zh-CN" w:bidi="ar-SA"/>
            </w:rPr>
            <w:t>┈┈┈┈┈┈┈┈</w:t>
          </w:r>
          <w:r>
            <w:t>-</w:t>
          </w:r>
          <w:r>
            <w:rPr>
              <w:rFonts w:hint="eastAsia"/>
              <w:lang w:val="en-US" w:eastAsia="zh-CN"/>
            </w:rPr>
            <w:t>155</w:t>
          </w:r>
          <w:r>
            <w:t xml:space="preserve"> </w:t>
          </w:r>
        </w:p>
        <w:p w14:paraId="1C26B4BE">
          <w:pPr>
            <w:rPr>
              <w:rFonts w:hint="default" w:ascii="楷体_GB2312" w:hAnsi="楷体_GB2312" w:cs="楷体_GB2312" w:eastAsiaTheme="minorEastAsia"/>
              <w:kern w:val="2"/>
              <w:sz w:val="21"/>
              <w:szCs w:val="28"/>
              <w:lang w:val="en-US" w:eastAsia="zh-CN" w:bidi="ar-SA"/>
            </w:rPr>
          </w:pPr>
          <w:r>
            <w:rPr>
              <w:rFonts w:hint="eastAsia" w:ascii="楷体_GB2312" w:hAnsi="楷体_GB2312" w:eastAsia="楷体_GB2312" w:cs="楷体_GB2312"/>
              <w:kern w:val="2"/>
              <w:sz w:val="21"/>
              <w:szCs w:val="28"/>
              <w:lang w:val="en-US" w:eastAsia="zh-CN" w:bidi="ar-SA"/>
            </w:rPr>
            <w:t>四十三、澄迈如何提升基层医疗机构服务能力，减少群众跨区域就医？</w:t>
          </w:r>
          <w:r>
            <w:rPr>
              <w:rFonts w:hint="eastAsia" w:ascii="宋体" w:hAnsi="宋体" w:eastAsia="宋体" w:cs="宋体"/>
              <w:kern w:val="2"/>
              <w:sz w:val="21"/>
              <w:szCs w:val="28"/>
              <w:lang w:val="en-US" w:eastAsia="zh-CN" w:bidi="ar-SA"/>
            </w:rPr>
            <w:t>┈┈┈┈┈┈┈┈</w:t>
          </w:r>
          <w:r>
            <w:t>-</w:t>
          </w:r>
          <w:r>
            <w:rPr>
              <w:rFonts w:hint="eastAsia"/>
              <w:lang w:val="en-US" w:eastAsia="zh-CN"/>
            </w:rPr>
            <w:t>158</w:t>
          </w:r>
        </w:p>
        <w:p w14:paraId="37E7DA45">
          <w:pPr>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_Toc15615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四十四、澄迈数字经济如何赋能传统农业，提升生产效率与附加值？</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 xml:space="preserve">- </w:t>
          </w:r>
          <w:r>
            <w:rPr>
              <w:rFonts w:hint="eastAsia"/>
              <w:lang w:val="en-US" w:eastAsia="zh-CN"/>
            </w:rPr>
            <w:t>162</w:t>
          </w:r>
          <w:r>
            <w:t xml:space="preserve"> </w:t>
          </w:r>
        </w:p>
        <w:p w14:paraId="2FDA772E">
          <w:pPr>
            <w:rPr>
              <w:rFonts w:hint="default" w:ascii="楷体_GB2312" w:hAnsi="楷体_GB2312" w:cs="楷体_GB2312" w:eastAsiaTheme="minorEastAsia"/>
              <w:kern w:val="2"/>
              <w:sz w:val="21"/>
              <w:szCs w:val="28"/>
              <w:lang w:val="en-US" w:eastAsia="zh-CN" w:bidi="ar-SA"/>
            </w:rPr>
          </w:pPr>
          <w:r>
            <w:rPr>
              <w:rFonts w:hint="eastAsia" w:ascii="楷体_GB2312" w:hAnsi="楷体_GB2312" w:eastAsia="楷体_GB2312" w:cs="楷体_GB2312"/>
              <w:kern w:val="2"/>
              <w:sz w:val="21"/>
              <w:szCs w:val="28"/>
              <w:lang w:val="en-US" w:eastAsia="zh-CN" w:bidi="ar-SA"/>
            </w:rPr>
            <w:fldChar w:fldCharType="begin"/>
          </w:r>
          <w:r>
            <w:rPr>
              <w:rFonts w:hint="eastAsia" w:ascii="楷体_GB2312" w:hAnsi="楷体_GB2312" w:eastAsia="楷体_GB2312" w:cs="楷体_GB2312"/>
              <w:kern w:val="2"/>
              <w:sz w:val="21"/>
              <w:szCs w:val="28"/>
              <w:lang w:val="en-US" w:eastAsia="zh-CN" w:bidi="ar-SA"/>
            </w:rPr>
            <w:instrText xml:space="preserve"> HYPERLINK \l _Toc3587 </w:instrText>
          </w:r>
          <w:r>
            <w:rPr>
              <w:rFonts w:hint="eastAsia" w:ascii="楷体_GB2312" w:hAnsi="楷体_GB2312" w:eastAsia="楷体_GB2312" w:cs="楷体_GB2312"/>
              <w:kern w:val="2"/>
              <w:sz w:val="21"/>
              <w:szCs w:val="28"/>
              <w:lang w:val="en-US" w:eastAsia="zh-CN" w:bidi="ar-SA"/>
            </w:rPr>
            <w:fldChar w:fldCharType="separate"/>
          </w:r>
          <w:r>
            <w:rPr>
              <w:rFonts w:hint="eastAsia" w:ascii="楷体_GB2312" w:hAnsi="楷体_GB2312" w:eastAsia="楷体_GB2312" w:cs="楷体_GB2312"/>
              <w:kern w:val="2"/>
              <w:sz w:val="21"/>
              <w:szCs w:val="28"/>
              <w:lang w:val="en-US" w:eastAsia="zh-CN" w:bidi="ar-SA"/>
            </w:rPr>
            <w:t>四十五、澄迈如何推动城乡供水、供电等基础设施一体化建设？</w:t>
          </w:r>
          <w:r>
            <w:rPr>
              <w:rFonts w:hint="eastAsia" w:ascii="楷体_GB2312" w:hAnsi="楷体_GB2312" w:eastAsia="楷体_GB2312" w:cs="楷体_GB2312"/>
              <w:kern w:val="2"/>
              <w:sz w:val="21"/>
              <w:szCs w:val="28"/>
              <w:lang w:val="en-US" w:eastAsia="zh-CN" w:bidi="ar-SA"/>
            </w:rPr>
            <w:tab/>
          </w:r>
          <w:r>
            <w:rPr>
              <w:rFonts w:hint="eastAsia" w:ascii="楷体_GB2312" w:hAnsi="楷体_GB2312" w:eastAsia="楷体_GB2312" w:cs="楷体_GB2312"/>
              <w:kern w:val="2"/>
              <w:sz w:val="21"/>
              <w:szCs w:val="28"/>
              <w:lang w:val="en-US" w:eastAsia="zh-CN" w:bidi="ar-SA"/>
            </w:rPr>
            <w:fldChar w:fldCharType="end"/>
          </w:r>
          <w:r>
            <w:rPr>
              <w:rFonts w:hint="eastAsia" w:ascii="宋体" w:hAnsi="宋体" w:eastAsia="宋体" w:cs="宋体"/>
              <w:kern w:val="2"/>
              <w:sz w:val="21"/>
              <w:szCs w:val="28"/>
              <w:lang w:val="en-US" w:eastAsia="zh-CN" w:bidi="ar-SA"/>
            </w:rPr>
            <w:t>┈┈┈┈┈┈┈┈</w:t>
          </w:r>
          <w:r>
            <w:t>-</w:t>
          </w:r>
          <w:r>
            <w:rPr>
              <w:rFonts w:hint="eastAsia"/>
              <w:lang w:val="en-US" w:eastAsia="zh-CN"/>
            </w:rPr>
            <w:t>166</w:t>
          </w:r>
        </w:p>
        <w:p w14:paraId="08EA4CD0">
          <w:pPr>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四十六、澄迈如何参与海南国际通信枢纽建设，提升跨境数据传输能力？</w:t>
          </w:r>
          <w:r>
            <w:rPr>
              <w:rFonts w:hint="eastAsia" w:ascii="宋体" w:hAnsi="宋体" w:eastAsia="宋体" w:cs="宋体"/>
              <w:kern w:val="2"/>
              <w:sz w:val="21"/>
              <w:szCs w:val="28"/>
              <w:lang w:val="en-US" w:eastAsia="zh-CN" w:bidi="ar-SA"/>
            </w:rPr>
            <w:t>┈┈┈┈┈┈┈┈</w:t>
          </w:r>
          <w:r>
            <w:t xml:space="preserve">- </w:t>
          </w:r>
          <w:r>
            <w:rPr>
              <w:rFonts w:hint="eastAsia"/>
              <w:lang w:val="en-US" w:eastAsia="zh-CN"/>
            </w:rPr>
            <w:t>169</w:t>
          </w:r>
          <w:r>
            <w:t xml:space="preserve"> </w:t>
          </w:r>
        </w:p>
        <w:p w14:paraId="5B9E53C1">
          <w:pPr>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四十七、海口经济圈会展资源如何整合，支持澄迈打造特色会展品牌？</w:t>
          </w:r>
          <w:r>
            <w:rPr>
              <w:rFonts w:hint="eastAsia" w:ascii="宋体" w:hAnsi="宋体" w:eastAsia="宋体" w:cs="宋体"/>
              <w:kern w:val="2"/>
              <w:sz w:val="21"/>
              <w:szCs w:val="28"/>
              <w:lang w:val="en-US" w:eastAsia="zh-CN" w:bidi="ar-SA"/>
            </w:rPr>
            <w:t>┈┈┈┈┈┈┈┈</w:t>
          </w:r>
          <w:r>
            <w:t xml:space="preserve">- </w:t>
          </w:r>
          <w:r>
            <w:rPr>
              <w:rFonts w:hint="eastAsia"/>
              <w:lang w:val="en-US" w:eastAsia="zh-CN"/>
            </w:rPr>
            <w:t>172</w:t>
          </w:r>
          <w:r>
            <w:t xml:space="preserve"> </w:t>
          </w:r>
        </w:p>
        <w:p w14:paraId="6B523E42">
          <w:pPr>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四十八、澄迈如何建立企业碳排放核算体系，助力 “双碳” 目标实现？</w:t>
          </w:r>
          <w:r>
            <w:rPr>
              <w:rFonts w:hint="eastAsia" w:ascii="宋体" w:hAnsi="宋体" w:eastAsia="宋体" w:cs="宋体"/>
              <w:kern w:val="2"/>
              <w:sz w:val="21"/>
              <w:szCs w:val="28"/>
              <w:lang w:val="en-US" w:eastAsia="zh-CN" w:bidi="ar-SA"/>
            </w:rPr>
            <w:t>┈┈┈┈┈┈┈┈</w:t>
          </w:r>
          <w:r>
            <w:t xml:space="preserve">- </w:t>
          </w:r>
          <w:r>
            <w:rPr>
              <w:rFonts w:hint="eastAsia"/>
              <w:lang w:val="en-US" w:eastAsia="zh-CN"/>
            </w:rPr>
            <w:t>176</w:t>
          </w:r>
          <w:r>
            <w:t xml:space="preserve"> </w:t>
          </w:r>
        </w:p>
        <w:p w14:paraId="09CF7069">
          <w:pPr>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四十九、澄迈如何吸引更多数字经济龙头企业设立区域总部或研发中心？</w:t>
          </w:r>
          <w:r>
            <w:rPr>
              <w:rFonts w:hint="eastAsia" w:ascii="宋体" w:hAnsi="宋体" w:eastAsia="宋体" w:cs="宋体"/>
              <w:kern w:val="2"/>
              <w:sz w:val="21"/>
              <w:szCs w:val="28"/>
              <w:lang w:val="en-US" w:eastAsia="zh-CN" w:bidi="ar-SA"/>
            </w:rPr>
            <w:t>┈┈┈┈┈┈┈┈</w:t>
          </w:r>
          <w:r>
            <w:t>-</w:t>
          </w:r>
          <w:r>
            <w:rPr>
              <w:rFonts w:hint="eastAsia"/>
              <w:lang w:val="en-US" w:eastAsia="zh-CN"/>
            </w:rPr>
            <w:t>179</w:t>
          </w:r>
          <w:r>
            <w:t xml:space="preserve"> </w:t>
          </w:r>
        </w:p>
        <w:p w14:paraId="084F270E">
          <w:pPr>
            <w:rPr>
              <w:rFonts w:hint="eastAsia" w:ascii="楷体_GB2312" w:hAnsi="楷体_GB2312" w:eastAsia="楷体_GB2312" w:cs="楷体_GB2312"/>
              <w:kern w:val="2"/>
              <w:sz w:val="21"/>
              <w:szCs w:val="28"/>
              <w:lang w:val="en-US" w:eastAsia="zh-CN" w:bidi="ar-SA"/>
            </w:rPr>
          </w:pPr>
          <w:r>
            <w:rPr>
              <w:rFonts w:hint="eastAsia" w:ascii="楷体_GB2312" w:hAnsi="楷体_GB2312" w:eastAsia="楷体_GB2312" w:cs="楷体_GB2312"/>
              <w:kern w:val="2"/>
              <w:sz w:val="21"/>
              <w:szCs w:val="28"/>
              <w:lang w:val="en-US" w:eastAsia="zh-CN" w:bidi="ar-SA"/>
            </w:rPr>
            <w:t>五十、澄迈如何在自贸港封关后，进一步发挥 “桥头堡” 作用，承接政策红利？</w:t>
          </w:r>
          <w:r>
            <w:rPr>
              <w:rFonts w:hint="eastAsia" w:ascii="宋体" w:hAnsi="宋体" w:eastAsia="宋体" w:cs="宋体"/>
              <w:kern w:val="2"/>
              <w:sz w:val="21"/>
              <w:szCs w:val="28"/>
              <w:lang w:val="en-US" w:eastAsia="zh-CN" w:bidi="ar-SA"/>
            </w:rPr>
            <w:t>┈┈┈┈┈┈┈┈</w:t>
          </w:r>
          <w:r>
            <w:t xml:space="preserve">- </w:t>
          </w:r>
          <w:r>
            <w:rPr>
              <w:rFonts w:hint="eastAsia"/>
              <w:lang w:val="en-US" w:eastAsia="zh-CN"/>
            </w:rPr>
            <w:t>183</w:t>
          </w:r>
          <w:r>
            <w:t xml:space="preserve"> </w:t>
          </w:r>
        </w:p>
        <w:p w14:paraId="7FB48820">
          <w:pPr>
            <w:pStyle w:val="5"/>
            <w:tabs>
              <w:tab w:val="right" w:leader="dot" w:pos="9746"/>
            </w:tabs>
          </w:pPr>
        </w:p>
        <w:p w14:paraId="5D3B3A62">
          <w:r>
            <w:fldChar w:fldCharType="end"/>
          </w:r>
        </w:p>
      </w:sdtContent>
    </w:sdt>
    <w:p w14:paraId="2A85D935"/>
    <w:p w14:paraId="40625961">
      <w:pPr>
        <w:rPr>
          <w:rFonts w:hint="eastAsia" w:ascii="楷体_GB2312" w:hAnsi="楷体_GB2312" w:eastAsia="楷体_GB2312" w:cs="楷体_GB2312"/>
          <w:sz w:val="28"/>
          <w:szCs w:val="28"/>
        </w:rPr>
      </w:pPr>
    </w:p>
    <w:p w14:paraId="2CC505CC">
      <w:pPr>
        <w:rPr>
          <w:rFonts w:hint="eastAsia" w:ascii="楷体_GB2312" w:hAnsi="楷体_GB2312" w:eastAsia="楷体_GB2312" w:cs="楷体_GB2312"/>
          <w:sz w:val="28"/>
          <w:szCs w:val="28"/>
        </w:rPr>
      </w:pPr>
    </w:p>
    <w:p w14:paraId="14CE0128">
      <w:pPr>
        <w:rPr>
          <w:rFonts w:hint="eastAsia" w:ascii="楷体_GB2312" w:hAnsi="楷体_GB2312" w:eastAsia="楷体_GB2312" w:cs="楷体_GB2312"/>
          <w:sz w:val="28"/>
          <w:szCs w:val="28"/>
        </w:rPr>
      </w:pPr>
    </w:p>
    <w:p w14:paraId="24CBD936">
      <w:pPr>
        <w:rPr>
          <w:rFonts w:hint="eastAsia" w:ascii="楷体_GB2312" w:hAnsi="楷体_GB2312" w:eastAsia="楷体_GB2312" w:cs="楷体_GB2312"/>
          <w:sz w:val="28"/>
          <w:szCs w:val="28"/>
        </w:rPr>
      </w:pPr>
    </w:p>
    <w:p w14:paraId="0559D1E1">
      <w:pPr>
        <w:rPr>
          <w:rFonts w:hint="eastAsia" w:ascii="楷体_GB2312" w:hAnsi="楷体_GB2312" w:eastAsia="楷体_GB2312" w:cs="楷体_GB2312"/>
          <w:sz w:val="28"/>
          <w:szCs w:val="28"/>
        </w:rPr>
      </w:pPr>
    </w:p>
    <w:p w14:paraId="53ECE8B6">
      <w:pPr>
        <w:rPr>
          <w:rFonts w:hint="eastAsia" w:ascii="楷体_GB2312" w:hAnsi="楷体_GB2312" w:eastAsia="楷体_GB2312" w:cs="楷体_GB2312"/>
          <w:sz w:val="28"/>
          <w:szCs w:val="28"/>
        </w:rPr>
      </w:pPr>
    </w:p>
    <w:p w14:paraId="689908D4">
      <w:pPr>
        <w:rPr>
          <w:rFonts w:hint="eastAsia" w:ascii="楷体_GB2312" w:hAnsi="楷体_GB2312" w:eastAsia="楷体_GB2312" w:cs="楷体_GB2312"/>
          <w:sz w:val="28"/>
          <w:szCs w:val="28"/>
        </w:rPr>
      </w:pPr>
    </w:p>
    <w:p w14:paraId="2ECBBBA6">
      <w:pPr>
        <w:rPr>
          <w:rFonts w:hint="eastAsia" w:ascii="楷体_GB2312" w:hAnsi="楷体_GB2312" w:eastAsia="楷体_GB2312" w:cs="楷体_GB2312"/>
          <w:sz w:val="28"/>
          <w:szCs w:val="28"/>
        </w:rPr>
      </w:pPr>
    </w:p>
    <w:p w14:paraId="130F554B">
      <w:pPr>
        <w:rPr>
          <w:rFonts w:hint="eastAsia" w:ascii="楷体_GB2312" w:hAnsi="楷体_GB2312" w:eastAsia="楷体_GB2312" w:cs="楷体_GB2312"/>
          <w:sz w:val="28"/>
          <w:szCs w:val="28"/>
        </w:rPr>
      </w:pPr>
    </w:p>
    <w:p w14:paraId="49F57B5C">
      <w:pPr>
        <w:rPr>
          <w:rFonts w:hint="eastAsia" w:ascii="楷体_GB2312" w:hAnsi="楷体_GB2312" w:eastAsia="楷体_GB2312" w:cs="楷体_GB2312"/>
          <w:sz w:val="28"/>
          <w:szCs w:val="28"/>
        </w:rPr>
      </w:pPr>
    </w:p>
    <w:p w14:paraId="2585CC06">
      <w:pPr>
        <w:rPr>
          <w:rFonts w:hint="eastAsia" w:ascii="楷体_GB2312" w:hAnsi="楷体_GB2312" w:eastAsia="楷体_GB2312" w:cs="楷体_GB2312"/>
          <w:sz w:val="28"/>
          <w:szCs w:val="28"/>
        </w:rPr>
      </w:pPr>
    </w:p>
    <w:p w14:paraId="03F6D67C">
      <w:pPr>
        <w:rPr>
          <w:rFonts w:hint="eastAsia" w:ascii="楷体_GB2312" w:hAnsi="楷体_GB2312" w:eastAsia="楷体_GB2312" w:cs="楷体_GB2312"/>
          <w:sz w:val="28"/>
          <w:szCs w:val="28"/>
        </w:rPr>
      </w:pPr>
    </w:p>
    <w:p w14:paraId="146CCDCE">
      <w:pPr>
        <w:rPr>
          <w:rFonts w:hint="eastAsia" w:ascii="楷体_GB2312" w:hAnsi="楷体_GB2312" w:eastAsia="楷体_GB2312" w:cs="楷体_GB2312"/>
          <w:sz w:val="28"/>
          <w:szCs w:val="28"/>
        </w:rPr>
      </w:pPr>
    </w:p>
    <w:p w14:paraId="2452932C">
      <w:pPr>
        <w:rPr>
          <w:rFonts w:hint="eastAsia" w:ascii="楷体_GB2312" w:hAnsi="楷体_GB2312" w:eastAsia="楷体_GB2312" w:cs="楷体_GB2312"/>
          <w:sz w:val="28"/>
          <w:szCs w:val="28"/>
        </w:rPr>
      </w:pPr>
    </w:p>
    <w:p w14:paraId="5DD3C839">
      <w:pPr>
        <w:rPr>
          <w:rFonts w:hint="eastAsia" w:ascii="楷体_GB2312" w:hAnsi="楷体_GB2312" w:eastAsia="楷体_GB2312" w:cs="楷体_GB2312"/>
          <w:sz w:val="28"/>
          <w:szCs w:val="28"/>
        </w:rPr>
      </w:pPr>
    </w:p>
    <w:p w14:paraId="7D8F5377">
      <w:pPr>
        <w:rPr>
          <w:rFonts w:hint="eastAsia" w:ascii="楷体_GB2312" w:hAnsi="楷体_GB2312" w:eastAsia="楷体_GB2312" w:cs="楷体_GB2312"/>
          <w:sz w:val="28"/>
          <w:szCs w:val="28"/>
        </w:rPr>
      </w:pPr>
    </w:p>
    <w:p w14:paraId="0B1705AD">
      <w:pPr>
        <w:rPr>
          <w:rFonts w:hint="eastAsia" w:ascii="楷体_GB2312" w:hAnsi="楷体_GB2312" w:eastAsia="楷体_GB2312" w:cs="楷体_GB2312"/>
          <w:sz w:val="28"/>
          <w:szCs w:val="28"/>
        </w:rPr>
      </w:pPr>
    </w:p>
    <w:p w14:paraId="76BCD098">
      <w:pPr>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一、澄迈如何进一步提升在海口经济圈的产业分工定位，避免同质化竞争？</w:t>
      </w:r>
    </w:p>
    <w:p w14:paraId="586B597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77D0B1F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口经济圈作为海南自贸港核心增长极，涵盖海口、澄迈、文昌、定安四地，总面积与经济规模占据全省核心地位。澄迈凭借与海口地缘相近、交通相连的优势，成为经济圈产业协同的重要节点，但当前面临产业定位模糊、与周边区域同质化竞争加剧等问题。数据显示，海口经济圈内部高新技术产业、现代服务业等领域存在明显的重复布局，澄迈与海口在数字经济、园区开发等方面的竞争大于合作，制约了区域整体效能释放。国家发改委明确提出 “海澄文定” 应形成 “海口以生产性服务业和生物医药为主导、澄迈以数字服务贸易为特色” 的互补型产业体系，这为澄迈提升产业分工定位提供了政策遵循。基于此，需围绕 “特色化、差异化、协同化” 核心，细化澄迈在海口经济圈中的产业分工优化路径，破解同质化难题。</w:t>
      </w:r>
    </w:p>
    <w:p w14:paraId="77DA02D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50E92517">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2" w:name="_Toc29935"/>
      <w:r>
        <w:rPr>
          <w:rFonts w:hint="eastAsia" w:ascii="仿宋_GB2312" w:hAnsi="仿宋_GB2312" w:eastAsia="仿宋_GB2312" w:cs="仿宋_GB2312"/>
          <w:sz w:val="28"/>
          <w:szCs w:val="28"/>
        </w:rPr>
        <w:t>1. 产业定位现状诊断与差异化基础梳理</w:t>
      </w:r>
      <w:bookmarkEnd w:id="2"/>
    </w:p>
    <w:p w14:paraId="525B9E4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前澄迈在海口经济圈中的产业分工存在三大突出问题：一是主导产业与海口重叠度较高，数字经济、临港产业等领域布局趋同，缺乏专属竞争优势；二是产业配套能力不足，作为海口产业外溢承接者，高端生产性服务业、产业链核心环节支撑薄弱；三是区域协同机制缺失，与海口及周边市县未形成明确的产业分工协议，导致资源配置分散。</w:t>
      </w:r>
    </w:p>
    <w:p w14:paraId="4572D9F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澄迈具备三大差异化发展基础：其一，数字服务贸易先发优势显著，海南生态软件园已集聚百度、腾讯等头部企业，形成数字健康、数字文娱、共享平台经济三大产业集群，游戏出海企业达 2000 余家，搭建了全链条公共服务平台；其二，空间载体资源充足，老城经济开发区与海口综合保税区相邻，土地、基础设施配套完善，具备承接高端产业延伸的条件；其三，政策支持叠加优势，作为自贸港重点园区所在地，享有数据跨境流动、税收优惠等特殊政策，与海口核心城区形成政策互补。需进一步核实澄迈主导产业产值占比、与海口产业重叠率等核心数据，精准定位差异化突破点。</w:t>
      </w:r>
    </w:p>
    <w:p w14:paraId="3D74B254">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 w:name="_Toc400"/>
      <w:r>
        <w:rPr>
          <w:rFonts w:hint="eastAsia" w:ascii="仿宋_GB2312" w:hAnsi="仿宋_GB2312" w:eastAsia="仿宋_GB2312" w:cs="仿宋_GB2312"/>
          <w:sz w:val="28"/>
          <w:szCs w:val="28"/>
        </w:rPr>
        <w:t>2. 基于自贸港政策的产业分工优化路径</w:t>
      </w:r>
      <w:bookmarkEnd w:id="3"/>
    </w:p>
    <w:p w14:paraId="6501C45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依托 “一线放开、二线管住” 的自贸港政策框架，澄迈应聚焦三大特色产业方向，强化与海口经济圈的分工协作：</w:t>
      </w:r>
    </w:p>
    <w:p w14:paraId="6FEB69E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在数字服务贸易领域，重点发展 “数据跨境加工 + 游戏出海 + 数字健康” 特色业态。借助海南生态软件园平台，承接海口数字经济产业中的跨境数据处理、海外市场运营等环节，与海口复兴城的直播出海、文创电商形成功能互补。深化 “数字保税” 模式创新，参照儋州洋浦数据加工经验，打造面向东南亚的跨境数据服务外包基地，争取纳入自贸港数据跨境流动先行试点。</w:t>
      </w:r>
    </w:p>
    <w:p w14:paraId="58202F0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在临港配套产业领域，立足老城经济开发区的区位优势，承接海口港航物流的仓储、分拨、加工配套业务，发展临港高端制造业配套环节。避免与海口直接竞争港航核心服务，重点构建 “港口 - 园区 - 产业” 联动体系，形成 “海口主枢纽 + 澄迈副中心” 的临港产业分工格局。</w:t>
      </w:r>
    </w:p>
    <w:p w14:paraId="69DD292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在现代都市农业领域，发挥澄迈富硒土地资源优势，发展精品农业、农产品精深加工产业，为海口提供高品质生鲜供应和农业休闲服务。与定安精品农业形成品类互补，共同打造海口经济圈 “菜篮子 + 后花园” 农业协同板块。</w:t>
      </w:r>
    </w:p>
    <w:p w14:paraId="2115A826">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 w:name="_Toc23548"/>
      <w:r>
        <w:rPr>
          <w:rFonts w:hint="eastAsia" w:ascii="仿宋_GB2312" w:hAnsi="仿宋_GB2312" w:eastAsia="仿宋_GB2312" w:cs="仿宋_GB2312"/>
          <w:sz w:val="28"/>
          <w:szCs w:val="28"/>
        </w:rPr>
        <w:t>3. 同质化竞争破解的协同机制构建</w:t>
      </w:r>
      <w:bookmarkEnd w:id="4"/>
    </w:p>
    <w:p w14:paraId="699155C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产业分工协同机制是避免同质化的关键：一是推动四地产业规划衔接，编制海口经济圈产业协同发展规划，明确澄迈数字服务贸易、临港配套等核心分工领域，划定产业禁止和限制清单；二是搭建联合招商平台，建立四地招商信息共享机制，避免同质化项目恶性竞争，推行 “海口招引 + 澄迈承接” 的产业链分工招商模式；三是完善利益共享机制，对跨区域合作项目实行税收分成、GDP 核算分区统计政策，参照澄迈县与老城开发区的分税制经验，制定跨市县产业合作利益分配方案。</w:t>
      </w:r>
    </w:p>
    <w:p w14:paraId="362B19D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同时，需强化基础设施互联互通支撑，加快推进轨道交通 “半小时通勤圈” 建设，提升澄迈与海口核心城区的交通通达性；推动公共服务资源共享，吸引海口优质教育、医疗资源向澄迈延伸，为产业分工协同提供人才保障。</w:t>
      </w:r>
    </w:p>
    <w:p w14:paraId="55C5A9BB">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 w:name="_Toc11007"/>
      <w:r>
        <w:rPr>
          <w:rFonts w:hint="eastAsia" w:ascii="仿宋_GB2312" w:hAnsi="仿宋_GB2312" w:eastAsia="仿宋_GB2312" w:cs="仿宋_GB2312"/>
          <w:sz w:val="28"/>
          <w:szCs w:val="28"/>
        </w:rPr>
        <w:t>4. 产业能级提升的保障措施细化</w:t>
      </w:r>
      <w:bookmarkEnd w:id="5"/>
    </w:p>
    <w:p w14:paraId="0B94CAC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确保产业分工定位落地，需从三方面强化保障：一是政策创新保障，争取省级层面支持，在澄迈设立数字服务贸易创新试验区，叠加跨境数据流动、人才引进等专项政策；二是要素保障优化，建立跨市县土地指标交易体系，盘活澄迈批而未供和闲置土地资源，保障重点产业项目用地需求；三是营商环境提质，对标海口核心城区，优化政务服务流程，构建与国际接轨的市场化、法治化营商环境，增强对高端产业和人才的吸引力。</w:t>
      </w:r>
    </w:p>
    <w:p w14:paraId="76D8B7C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需重点核实海南自贸港对数字服务贸易的最新政策支持、海口经济圈产业协同规划编制进展等权威信息，确保所有优化路径均有政策依据和实践基础。</w:t>
      </w:r>
    </w:p>
    <w:p w14:paraId="7DDC001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C00DF6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CEFB84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066A8A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3D1781A">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二、“海澄文定” 一体化缺乏专设统筹机构，如何构建高效协调机制？</w:t>
      </w:r>
    </w:p>
    <w:p w14:paraId="1730604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5F6EF61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“海澄文定” 一体化是夯实海南自贸港建设基础的关键举措，四地作为自贸港核心增长极，区域面积、经济规模和人口体量占据全省重要地位。但当前一体化进程中，统筹协调机制存在显著短板，突出表现为缺乏专设统筹机构，仅靠省发展改革委推动工作，统筹力度不足。跨区域重大项目多为一事一议，缺乏常态化议事机制；利益共享和横向补偿机制不健全，导致土地、税收、生态等跨区域问题难以协调；规划衔接不畅，四地各自编制国土空间规划，空间发展重心不一致，制约了一体化发展合力。国家发改委明确提出要建立 “海澄文定” 一体化建设领导小组，完善统筹协调机制，这为问题解决提供了明确方向。基于此，需围绕 “机构设置、机制运行、利益协调、规划衔接” 四大维度，细化高效协调机制构建路径。</w:t>
      </w:r>
    </w:p>
    <w:p w14:paraId="6973A9E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041284A7">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 w:name="_Toc17813"/>
      <w:r>
        <w:rPr>
          <w:rFonts w:hint="eastAsia" w:ascii="仿宋_GB2312" w:hAnsi="仿宋_GB2312" w:eastAsia="仿宋_GB2312" w:cs="仿宋_GB2312"/>
          <w:sz w:val="28"/>
          <w:szCs w:val="28"/>
        </w:rPr>
        <w:t>1. 专设统筹机构的层级与职能定位</w:t>
      </w:r>
      <w:bookmarkEnd w:id="6"/>
    </w:p>
    <w:p w14:paraId="345ECCC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构建高效协调机制的核心是建立权责清晰的专设统筹机构：建议成立省级层面的 “海澄文定” 一体化建设领导小组，由省级领导担任组长，成员包括省发改委、自然资源厅等相关部门及四地政府主要负责人。领导小组作为决策机构，主要职责包括审议一体化重大战略、重大项目、重大平台和重大政策；制定一体化发展年度工作计划和目标任务；协调解决跨区域重大矛盾和问题。</w:t>
      </w:r>
    </w:p>
    <w:p w14:paraId="54B0AC0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领导小组下设常设办事机构（办公室），建议设在省发改委或四地联合组建的专门机构，负责日常协调工作：一是落实领导小组决策部署，推进重大项目和重点任务实施；二是建立四地常态化沟通机制，组织定期会商和工作调度；三是开展一体化发展监测评估，编制年度发展报告；四是统筹协调跨区域要素配置和利益分配。</w:t>
      </w:r>
    </w:p>
    <w:p w14:paraId="0865BD7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设立专项工作组，针对产业协同、交通互联、生态保护、公共服务共享等重点领域，组建由相关部门和四地业务骨干组成的专项工作组，负责具体领域协调推进工作。机构设置需符合海南省行政管理体制改革方向，确保权责统一、精简高效。</w:t>
      </w:r>
    </w:p>
    <w:p w14:paraId="3EB15BA0">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 w:name="_Toc14246"/>
      <w:r>
        <w:rPr>
          <w:rFonts w:hint="eastAsia" w:ascii="仿宋_GB2312" w:hAnsi="仿宋_GB2312" w:eastAsia="仿宋_GB2312" w:cs="仿宋_GB2312"/>
          <w:sz w:val="28"/>
          <w:szCs w:val="28"/>
        </w:rPr>
        <w:t>2. 常态化议事与决策机制构建</w:t>
      </w:r>
      <w:bookmarkEnd w:id="7"/>
    </w:p>
    <w:p w14:paraId="15F1A13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高效协调机制的关键在于建立多层次、常态化的议事决策体系：一是建立领导小组会议制度，实行季度例会制，遇重大问题可随时召开专题会议，研究决定一体化发展重大事项；二是建立办公室协调会议制度，实行月度例会制，协调推进日常工作，通报项目进展情况，梳理需提交领导小组解决的问题；三是建立专项工作组会商制度，实行半月调度制，聚焦具体领域协同任务，制定细化推进方案。</w:t>
      </w:r>
    </w:p>
    <w:p w14:paraId="254FCBE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决策机制方面，实行 “民主集中制 + 协商一致” 原则：对于重大战略和政策，由领导小组充分讨论后集体决策；对于跨区域利益协调等具体问题，由办公室牵头组织四地协商，达成一致意见后实施，协商未果的提交领导小组裁定。同时，建立决策咨询机制，聘请专家学者、行业代表组成一体化发展专家咨询委员会，为重大决策提供专业支撑。</w:t>
      </w:r>
    </w:p>
    <w:p w14:paraId="00B588E6">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8" w:name="_Toc20965"/>
      <w:r>
        <w:rPr>
          <w:rFonts w:hint="eastAsia" w:ascii="仿宋_GB2312" w:hAnsi="仿宋_GB2312" w:eastAsia="仿宋_GB2312" w:cs="仿宋_GB2312"/>
          <w:sz w:val="28"/>
          <w:szCs w:val="28"/>
        </w:rPr>
        <w:t>3. 利益共享与成本共担机制细化</w:t>
      </w:r>
      <w:bookmarkEnd w:id="8"/>
    </w:p>
    <w:p w14:paraId="5E021CD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利益共享和成本共担是一体化协调机制的核心内容，需构建三大机制：一是跨区域财政投入机制，建立省级层面的 “海澄文定” 发展专项基金，主要用于跨区域重大基础设施、生态保护等项目建设，资金来源包括省级财政拨款、四地财政出资、社会资本投入等；二是利益分成机制，完善飞地园区、园区共建的利益分配方案，对跨区域合作项目，实行税收分成、GDP 核算按比例分摊政策，参照海口综合保税区税收分成经验，制定四地统一的利益分配标准；三是成本共担机制，对垃圾处理、生态保护等跨区域公共服务项目，按照 “谁受益、谁付费” 原则，制定横向补偿标准，明确四地成本分担比例。</w:t>
      </w:r>
    </w:p>
    <w:p w14:paraId="0950883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例如，针对澄迈承接海口垃圾处理任务的成本分担问题，由协调机构牵头核算垃圾处理设施建设、运营成本，按照海口受益比例确定补偿金额，纳入年度财政转移支付计划。同时，建立利益纠纷调解机制，对跨区域利益分配争议，由办公室牵头组织调解，确保机制公平公正运行。</w:t>
      </w:r>
    </w:p>
    <w:p w14:paraId="5499FD3C">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 w:name="_Toc20483"/>
      <w:r>
        <w:rPr>
          <w:rFonts w:hint="eastAsia" w:ascii="仿宋_GB2312" w:hAnsi="仿宋_GB2312" w:eastAsia="仿宋_GB2312" w:cs="仿宋_GB2312"/>
          <w:sz w:val="28"/>
          <w:szCs w:val="28"/>
        </w:rPr>
        <w:t>4. 规划衔接与要素统筹机制构建</w:t>
      </w:r>
      <w:bookmarkEnd w:id="9"/>
    </w:p>
    <w:p w14:paraId="3A2EFB7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规划衔接是一体化发展的前提，需建立 “省级统筹 + 四地协同” 的规划编制机制：一是编制一体化国土空间规划，探索利用海南经济特区立法权限，推进区域规划立法，明确四地空间发展格局、产业布局、基础设施建设等统一要求；二是建立规划衔接审核机制，四地编制的各类专项规划需报一体化办公室审核，确保与一体化规划相衔接，避免规划冲突；三是建立规划实施监测评估机制，由办公室牵头对四地规划实施情况进行年度评估，及时发现和解决规划执行中的问题。</w:t>
      </w:r>
    </w:p>
    <w:p w14:paraId="662AB21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要素统筹机制方面，重点推进三大要素协同：一是土地要素统筹，建立跨市县城乡建设用地增减挂钩指标交易体系，加大批而未供和闲置土地消化处置力度，保障一体化重大项目用地需求；二是人才要素统筹，打破户籍限制，建立四地人才自由流动机制，实行人才资质互认、社保互通、待遇互享政策；三是数据要素统筹，搭建四地政务数据共享平台，推进交通、环保、公共服务等领域数据互联互通，为一体化协调决策提供数据支撑。</w:t>
      </w:r>
    </w:p>
    <w:p w14:paraId="351CD52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0" w:name="_Toc21641"/>
      <w:r>
        <w:rPr>
          <w:rFonts w:hint="eastAsia" w:ascii="仿宋_GB2312" w:hAnsi="仿宋_GB2312" w:eastAsia="仿宋_GB2312" w:cs="仿宋_GB2312"/>
          <w:sz w:val="28"/>
          <w:szCs w:val="28"/>
        </w:rPr>
        <w:t>5. 机制运行的监督与考核评估</w:t>
      </w:r>
      <w:bookmarkEnd w:id="10"/>
    </w:p>
    <w:p w14:paraId="06D48C5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确保协调机制高效运转，需建立健全监督考核体系：一是实行目标责任制管理，由一体化办公室牵头，将一体化发展任务分解到四地和相关部门，明确责任主体和完成时限；二是建立督查督办机制，定期对重大项目、重点任务推进情况进行督查，对进展缓慢的单位进行通报批评，督促整改落实；三是完善考核评价机制，将一体化发展工作纳入四地政府和相关部门年度绩效考核体系，考核结果与干部评优评先、财政转移支付等挂钩；四是建立公众参与机制，公开一体化发展规划、项目进展等信息，畅通公众意见反馈渠道，接受社会监督。</w:t>
      </w:r>
    </w:p>
    <w:p w14:paraId="50F40CD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所有机制设计均需严格依据国家发改委关于 “海澄文定” 一体化的指导意见和海南省相关政策文件，确保符合省级统筹、分级负责的管理体制，具备可操作性和权威性。</w:t>
      </w:r>
    </w:p>
    <w:p w14:paraId="44094E6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6B2DC8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352C26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8685F2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2DB2F7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C9967B0">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三、海口综合保税区部分位于澄迈老城，税收分成（澄迈仅得 40%）如何优化？</w:t>
      </w:r>
    </w:p>
    <w:p w14:paraId="6D896DB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6E0854E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口综合保税区作为海南自贸港重要的海关特殊监管区域，其部分园区位于澄迈老城经济开发区范围内，这一特殊区位布局为区域经济协同发展提供了契机，但也引发了税收分成的利益协调问题。当前，澄迈县仅获得该区域 40% 的税收分成，而土地供应、基础设施建设、建设用地指标保障、职工住宿配套等公共投入均由澄迈承担，税收分成比例与投入成本不匹配。同时，该区域的 GDP 和固定资产投入等统计指标缺乏分区核算，进一步影响了澄迈的发展积极性。</w:t>
      </w:r>
    </w:p>
    <w:p w14:paraId="10D1372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澄迈县已建立县与老城开发区的分税制财政管理体制，对共享税收实行县级分享 90%、开发区分享 10% 的分成比例，并设置了增收奖励、超收奖励和减收惩罚机制，为跨区域税收分成优化提供了本地实践参考。国家发改委也明确提出要完善 “海澄文定” 四地联合招商和飞地园区、园区共建的利益分成机制，这为税收分成优化提供了政策依据。基于此，需围绕 “成本与收益匹配、激励与约束并重、短期调整与长期机制结合” 原则，细化税收分成优化方案。</w:t>
      </w:r>
    </w:p>
    <w:p w14:paraId="7111252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44C9D369">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1" w:name="_Toc23046"/>
      <w:r>
        <w:rPr>
          <w:rFonts w:hint="eastAsia" w:ascii="仿宋_GB2312" w:hAnsi="仿宋_GB2312" w:eastAsia="仿宋_GB2312" w:cs="仿宋_GB2312"/>
          <w:sz w:val="28"/>
          <w:szCs w:val="28"/>
        </w:rPr>
        <w:t>1. 税收分成现状的全面梳理与问题诊断</w:t>
      </w:r>
      <w:bookmarkEnd w:id="11"/>
    </w:p>
    <w:p w14:paraId="0FCBAD0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首先需系统梳理当前税收分成的核心问题：一是分成比例不合理，澄迈承担了园区建设的主要成本，但 40% 的税收分成比例低于投入产出预期，与澄迈县内园区 90% 的县级分成比例差距较大；二是分成范围不清晰，未明确是否涵盖所有税种，对非税收入、政府性基金收入等的分配规则缺乏明确约定；三是核算机制不健全，GDP 和固定资产投入等统计指标未实行分区核算，导致澄迈的发展贡献未能充分体现；四是动态调整机制缺失，税收分成比例长期固定，未考虑园区发展阶段、成本投入变化等因素。</w:t>
      </w:r>
    </w:p>
    <w:p w14:paraId="50E7738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需精准核算澄迈的实际投入成本：包括土地征收补偿费用、基础设施建设投入（道路、供水、供电、排污等）、公共服务配套成本（教育、医疗、就业服务等）、生态环境保护投入等。对比海口在园区运营管理、政策支持等方面的投入，为分成比例调整提供量化依据。需调取海口综合保税区年度税收总额、澄迈县投入明细等权威数据，确保问题诊断的准确性。</w:t>
      </w:r>
    </w:p>
    <w:p w14:paraId="22446D76">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2" w:name="_Toc8529"/>
      <w:r>
        <w:rPr>
          <w:rFonts w:hint="eastAsia" w:ascii="仿宋_GB2312" w:hAnsi="仿宋_GB2312" w:eastAsia="仿宋_GB2312" w:cs="仿宋_GB2312"/>
          <w:sz w:val="28"/>
          <w:szCs w:val="28"/>
        </w:rPr>
        <w:t>2. 税收分成比例优化的具体方案设计</w:t>
      </w:r>
      <w:bookmarkEnd w:id="12"/>
    </w:p>
    <w:p w14:paraId="1FD3362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基于 “成本共担、利益共享” 原则，提出阶梯式税收分成优化方案：</w:t>
      </w:r>
    </w:p>
    <w:p w14:paraId="3531BB6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短期调整（1-3 年）：将澄迈的税收分成比例从 40% 提高至 60%。理由是澄迈承担了园区主要的土地和基础设施投入，60% 的分成比例与实际投入成本相匹配，同时参考澄迈县内园区的分成机制，兼顾了省级、海口市和澄迈县的利益平衡。分成范围明确为园区内企业产生的各项税收收入（除上划中央和省级收入外），非税收入和政府性基金收入归澄迈县所有，与澄迈县内园区财政分配规则保持一致。</w:t>
      </w:r>
    </w:p>
    <w:p w14:paraId="1D319E9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中期过渡（3-5 年）：实行 “基数固定 + 增长分成” 模式。以近三年税收收入地方所得部分的平均数为基数，基数部分按 60% 比例分成；超过基数的增长部分，澄迈分成比例提高至 70%，激励澄迈参与园区招商和运营管理的积极性。这一模式借鉴了澄迈县对老城开发区的增收奖励机制，实现 “多劳多得”。</w:t>
      </w:r>
    </w:p>
    <w:p w14:paraId="019A7A7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长期机制（5 年后）：建立市场化的利益分成机制。根据澄迈和海口的实际投入成本、运营管理贡献度等因素，设定动态调整的分成比例。引入第三方评估机构，每两年对园区成本投入、运营效益进行评估，根据评估结果调整分成比例，确保分成方案的科学性和公平性。</w:t>
      </w:r>
    </w:p>
    <w:p w14:paraId="17C7BD27">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3" w:name="_Toc20829"/>
      <w:r>
        <w:rPr>
          <w:rFonts w:hint="eastAsia" w:ascii="仿宋_GB2312" w:hAnsi="仿宋_GB2312" w:eastAsia="仿宋_GB2312" w:cs="仿宋_GB2312"/>
          <w:sz w:val="28"/>
          <w:szCs w:val="28"/>
        </w:rPr>
        <w:t>3. 税收分成核算与管理机制细化</w:t>
      </w:r>
      <w:bookmarkEnd w:id="13"/>
    </w:p>
    <w:p w14:paraId="334EBC0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核算机制是确保分成方案落地的关键：一是明确核算主体，由省级财政部门牵头，联合海口、澄迈两地财政部门和税务部门，组建专门核算小组，负责税收数据统计、成本核算和分成结算；二是统一核算标准，制定《海口综合保税区跨区域税收分成核算办法》，明确税种范围、核算口径、统计方法，实行税收收入和 GDP、固定资产投入分区核算；三是规范结算流程，实行按月预拨、按年结算的方式，每月按上年分成金额的 1/12 预拨给澄迈县，年度终了后 3 个月内完成汇算清缴，多退少补；四是建立信息公开机制，定期向两地政府公开税收收入数据、成本核算结果和分成结算情况，接受监督。</w:t>
      </w:r>
    </w:p>
    <w:p w14:paraId="3B96779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优化管理机制：一是建立联合管理委员会，由海口、澄迈两地政府和海口综合保税区管理局共同组成，负责协调税收分成相关事宜，解决核算争议；二是明确事权划分，澄迈县负责园区周边基础设施维护、公共服务配套和生态环境保护，海口市负责园区运营管理、政策落实和招商推广，确保权责对等。</w:t>
      </w:r>
    </w:p>
    <w:p w14:paraId="5A5039CB">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4" w:name="_Toc18406"/>
      <w:r>
        <w:rPr>
          <w:rFonts w:hint="eastAsia" w:ascii="仿宋_GB2312" w:hAnsi="仿宋_GB2312" w:eastAsia="仿宋_GB2312" w:cs="仿宋_GB2312"/>
          <w:sz w:val="28"/>
          <w:szCs w:val="28"/>
        </w:rPr>
        <w:t>4. 配套利益协调机制构建</w:t>
      </w:r>
      <w:bookmarkEnd w:id="14"/>
    </w:p>
    <w:p w14:paraId="68D4BCC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税收分成优化需与其他利益协调机制相配套：一是建立跨区域项目共建机制，对海口综合保税区与澄迈老城开发区合作的产业项目，实行 “共同投资、共同招商、共享收益” 模式，进一步扩大澄迈的收益来源；二是完善统计指标共享机制，争取省级统计部门支持，将园区 GDP、固定资产投入等指标按属地原则进行分区统计，分别计入海口和澄迈的统计数据；三是设立专项奖励资金，对澄迈引进的重大项目，从园区税收增长部分中提取一定比例作为奖励，激励澄迈参与园区招商工作。</w:t>
      </w:r>
    </w:p>
    <w:p w14:paraId="19472C8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此外，需建立争议解决机制，对税收分成过程中出现的分歧，由省级财政部门牵头调解，调解不成的提交 “海澄文定” 一体化建设领导小组裁定，确保分成方案顺利执行。</w:t>
      </w:r>
    </w:p>
    <w:p w14:paraId="544F3989">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5" w:name="_Toc18160"/>
      <w:r>
        <w:rPr>
          <w:rFonts w:hint="eastAsia" w:ascii="仿宋_GB2312" w:hAnsi="仿宋_GB2312" w:eastAsia="仿宋_GB2312" w:cs="仿宋_GB2312"/>
          <w:sz w:val="28"/>
          <w:szCs w:val="28"/>
        </w:rPr>
        <w:t>5. 方案实施的保障措施与风险评估</w:t>
      </w:r>
      <w:bookmarkEnd w:id="15"/>
    </w:p>
    <w:p w14:paraId="412A744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确保税收分成优化方案落地，需强化三大保障：一是省级层面统筹，由省发改委、财政厅牵头制定《海口综合保税区跨区域税收分成优化实施办法》，明确实施步骤、责任分工和时间节点；二是部门协同配合，税务部门负责税收数据精准统计，财政部门负责分成结算，两地政府负责成本核算和沟通协调；三是法治保障，将税收分成规则纳入 “海澄文定” 一体化发展相关立法内容，确保方案的稳定性和权威性。</w:t>
      </w:r>
    </w:p>
    <w:p w14:paraId="5FA3D60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进行风险评估：分析税收分成比例调整对海口财政收入的影响，提出省级财政转移支付补贴方案，平衡两地利益；评估方案实施对园区招商和企业发展的影响，确保税收分成调整不影响园区政策稳定性；建立动态监测机制，跟踪方案实施效果，及时解决出现的新问题。所有优化方案均需征求省级相关部门、海口和澄迈两地政府的意见，确保符合政策规定和实际情况。</w:t>
      </w:r>
    </w:p>
    <w:p w14:paraId="051AA6F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5C36E4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082E9F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7CA807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F549CB4">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16" w:name="_Toc32209"/>
      <w:r>
        <w:rPr>
          <w:rFonts w:hint="eastAsia" w:ascii="楷体_GB2312" w:hAnsi="楷体_GB2312" w:eastAsia="楷体_GB2312" w:cs="楷体_GB2312"/>
          <w:sz w:val="28"/>
          <w:szCs w:val="28"/>
        </w:rPr>
        <w:t>四、澄迈承接海口垃圾处理任务，生态补偿机制如何落地见效？</w:t>
      </w:r>
      <w:bookmarkEnd w:id="16"/>
    </w:p>
    <w:p w14:paraId="0E3E1C0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28DCD0E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 “海澄文定” 一体化进程中，澄迈承担了海口大部分垃圾处理任务，为保障海口城市环境和公共卫生作出了重要贡献。但当前垃圾处理设施已处于超期、超容量运转状态，不仅加重了澄迈的环境承载压力，也导致其环保、能耗等约束性指标完成难度加大。更为突出的是，生态补偿机制尚未有效建立，澄迈在垃圾处理设施建设、运营维护、生态环境保护等方面的投入缺乏合理补偿，影响了其承接垃圾处理任务的积极性。</w:t>
      </w:r>
    </w:p>
    <w:p w14:paraId="1DFBFC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国家发改委明确要求尽快制定邻避型设施在资金、能耗指标等方面的横向补偿机制，探索跨县市河流的流域上下游生态补偿机制，这为垃圾处理生态补偿机制构建提供了政策依据。同时，海南自贸港建设中强调生态保护优先，建立横向生态补偿机制是落实生态保护责任的重要举措。基于此，需围绕 “补偿主体明确、补偿标准科学、支付方式规范、监管机制健全” 原则，细化生态补偿机制落地路径。</w:t>
      </w:r>
    </w:p>
    <w:p w14:paraId="40EE978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29CEA757">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7" w:name="_Toc26982"/>
      <w:r>
        <w:rPr>
          <w:rFonts w:hint="eastAsia" w:ascii="仿宋_GB2312" w:hAnsi="仿宋_GB2312" w:eastAsia="仿宋_GB2312" w:cs="仿宋_GB2312"/>
          <w:sz w:val="28"/>
          <w:szCs w:val="28"/>
        </w:rPr>
        <w:t>1. 生态补偿现状梳理与核心问题诊断</w:t>
      </w:r>
      <w:bookmarkEnd w:id="17"/>
    </w:p>
    <w:p w14:paraId="7CC8069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当前澄迈垃圾处理生态补偿存在四大突出问题：一是补偿主体单一，仅依靠澄迈县自身投入，海口作为受益主体未承担相应补偿责任，未形成 “谁受益、谁补偿” 的横向补偿格局；二是补偿标准缺失，缺乏科学的核算方法，未明确垃圾处理设施建设、运营维护、生态修复等各环节的补偿金额；三是补偿方式单一，以财政投入为主，缺乏市场化补偿手段，补偿可持续性不足；四是补偿机制不健全，没有形成常态化的补偿支付、监督考核和动态调整机制，补偿资金难以保障。</w:t>
      </w:r>
    </w:p>
    <w:p w14:paraId="780C89C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需全面梳理澄迈垃圾处理相关基础数据：包括垃圾处理设施数量、处理能力、实际处理量、超期超容量运转情况；设施建设投资、年度运营维护费用、生态修复投入等成本数据；垃圾处理对澄迈空气质量、土壤环境、水资源等生态环境的影响评估数据；海口垃圾产生量、清运至澄迈处理的比例等受益数据。这些数据是制定科学补偿方案的基础，需通过澄迈县生态环境局、住建局、财政局等权威部门核实获取。</w:t>
      </w:r>
    </w:p>
    <w:p w14:paraId="6A528BDC">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8" w:name="_Toc12655"/>
      <w:r>
        <w:rPr>
          <w:rFonts w:hint="eastAsia" w:ascii="仿宋_GB2312" w:hAnsi="仿宋_GB2312" w:eastAsia="仿宋_GB2312" w:cs="仿宋_GB2312"/>
          <w:sz w:val="28"/>
          <w:szCs w:val="28"/>
        </w:rPr>
        <w:t>2. 生态补偿主体与补偿范围明确</w:t>
      </w:r>
      <w:bookmarkEnd w:id="18"/>
    </w:p>
    <w:p w14:paraId="19D32CA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明确补偿主体：按照 “受益付费、成本共担” 原则，确定海口市政府为主要补偿主体，承担垃圾处理横向补偿的主要责任；省级政府作为统筹主体，给予适当的财政补贴，支持澄迈垃圾处理设施升级改造和生态修复；垃圾产生企业作为间接受益主体，可按垃圾产生量缴纳一定的生态补偿费，补充补偿资金来源。</w:t>
      </w:r>
    </w:p>
    <w:p w14:paraId="0F1CAE6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界定补偿范围：一是设施建设补偿，对澄迈已建成的垃圾处理设施，按建设投资的一定比例给予一次性补偿；对新建、改扩建设施，由海口承担部分建设资金；二是运营维护补偿，根据垃圾实际处理量，按单位处理成本给予常态化运营补偿，涵盖垃圾清运、处理、尾气处理、渗滤液处理等环节；三是生态修复补偿，针对垃圾处理造成的土壤污染、地下水污染等问题，给予生态修复专项补偿；四是能耗指标补偿，由于垃圾处理设施运行占用澄迈能耗指标，需给予相应的指标补偿或资金补贴；五是公共服务配套补偿，对垃圾处理设施周边的教育、医疗、交通等公共服务配套投入给予补偿。</w:t>
      </w:r>
    </w:p>
    <w:p w14:paraId="66571D1A">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9" w:name="_Toc18092"/>
      <w:r>
        <w:rPr>
          <w:rFonts w:hint="eastAsia" w:ascii="仿宋_GB2312" w:hAnsi="仿宋_GB2312" w:eastAsia="仿宋_GB2312" w:cs="仿宋_GB2312"/>
          <w:sz w:val="28"/>
          <w:szCs w:val="28"/>
        </w:rPr>
        <w:t>3. 科学补偿标准的制定方法</w:t>
      </w:r>
      <w:bookmarkEnd w:id="19"/>
    </w:p>
    <w:p w14:paraId="700D624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采用 “成本核算 + 生态价值评估” 的综合方法制定补偿标准：</w:t>
      </w:r>
    </w:p>
    <w:p w14:paraId="7625964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第一步，核算垃圾处理直接成本。包括设施建设折旧费用、运营维护费用（人工、耗材、能源等）、垃圾清运费用等，参考海南省垃圾处理成本指导价和澄迈实际支出数据，确定单位垃圾处理直接成本。</w:t>
      </w:r>
    </w:p>
    <w:p w14:paraId="716C65E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步，评估生态环境损害成本。委托第三方专业机构，采用环境价值评估方法，核算垃圾处理对周边生态环境造成的损害，包括土壤污染修复成本、地下水治理成本、空气质量改善成本等，作为生态修复补偿标准的依据。</w:t>
      </w:r>
    </w:p>
    <w:p w14:paraId="23FEB3C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第三步，确定综合补偿标准。综合考虑直接成本、生态损害成本、公共服务配套成本等因素，制定单位垃圾处理综合补偿标准。例如，若单位垃圾处理直接成本为 150 元 / 吨，生态损害成本为 50 元 / 吨，公共服务配套成本为 20 元 / 吨，综合补偿标准可确定为 220 元 / 吨，由海口按实际接收处理的垃圾量支付补偿资金。</w:t>
      </w:r>
    </w:p>
    <w:p w14:paraId="3A22816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同时，建立补偿标准动态调整机制，每两年根据物价上涨幅度、垃圾处理技术升级、生态环境评估结果等因素，对补偿标准进行调整，确保补偿标准的科学性和合理性。</w:t>
      </w:r>
    </w:p>
    <w:p w14:paraId="65262857">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20" w:name="_Toc21977"/>
      <w:r>
        <w:rPr>
          <w:rFonts w:hint="eastAsia" w:ascii="仿宋_GB2312" w:hAnsi="仿宋_GB2312" w:eastAsia="仿宋_GB2312" w:cs="仿宋_GB2312"/>
          <w:sz w:val="28"/>
          <w:szCs w:val="28"/>
        </w:rPr>
        <w:t>4. 多元化补偿支付方式设计</w:t>
      </w:r>
      <w:bookmarkEnd w:id="20"/>
    </w:p>
    <w:p w14:paraId="37CE15A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 “财政转移支付 + 市场化补偿 + 政策支持” 的多元化补偿方式：</w:t>
      </w:r>
    </w:p>
    <w:p w14:paraId="76C5B59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财政转移支付补偿：这是主要补偿方式，由海口市政府每年根据垃圾处理量和补偿标准，向澄迈县财政拨付生态补偿资金。实行 “按月预拨、按年结算” 制度，每月按上年实际补偿金额的 1/12 预拨，年度终了后根据实际处理量进行汇算清缴。</w:t>
      </w:r>
    </w:p>
    <w:p w14:paraId="2F79311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场化补偿方式：一是探索垃圾处理权交易，海口通过购买垃圾处理指标的方式向澄迈支付补偿；二是推行生态产品市场化交易，支持澄迈将垃圾处理产生的沼气、发电等绿色能源产品，通过碳交易市场或能源交易市场获得额外收益；三是鼓励跨区域产业合作，海口优先向澄迈转移生态友好型产业项目，以产业发展收益弥补生态保护成本。</w:t>
      </w:r>
    </w:p>
    <w:p w14:paraId="0F6F492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政策支持补偿：省级层面给予澄迈专项政策支持，包括垃圾处理设施建设专项补贴、环保专项资金倾斜、能耗指标调剂等；在重大项目布局、土地指标分配等方面给予优先支持；允许澄迈垃圾处理设施享受税收优惠、电价优惠等政策。</w:t>
      </w:r>
    </w:p>
    <w:p w14:paraId="235D28E5">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21" w:name="_Toc14036"/>
      <w:r>
        <w:rPr>
          <w:rFonts w:hint="eastAsia" w:ascii="仿宋_GB2312" w:hAnsi="仿宋_GB2312" w:eastAsia="仿宋_GB2312" w:cs="仿宋_GB2312"/>
          <w:sz w:val="28"/>
          <w:szCs w:val="28"/>
        </w:rPr>
        <w:t>5. 补偿机制落地的监管与考核</w:t>
      </w:r>
      <w:bookmarkEnd w:id="21"/>
    </w:p>
    <w:p w14:paraId="4275018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全流程监管考核机制，确保补偿资金专款专用、补偿效果达标：一是成立联合监管小组，由省级生态环境、财政、住建等部门和海口、澄迈两地政府组成，负责监督补偿资金拨付、使用和项目实施情况；二是建立补偿资金使用公示制度，澄迈县需定期公开补偿资金使用情况，接受社会监督；三是制定考核评价指标体系，包括垃圾处理设施运行效率、生态环境质量改善情况、补偿资金使用效益等指标，每年进行一次考核，考核结果与下一年度补偿资金额度挂钩；四是建立违约惩罚机制，对海口未按时足额支付补偿资金、澄迈未按要求完成垃圾处理和生态修复任务的，给予相应处罚。</w:t>
      </w:r>
    </w:p>
    <w:p w14:paraId="140C2F8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需重点参考海南省已建立的流域生态补偿机制、邻避型设施补偿相关政策，确保补偿机制设计符合省级政策框架，所有补偿标准和支付方式均有权威依据。</w:t>
      </w:r>
    </w:p>
    <w:p w14:paraId="7670330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34BDBE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79B550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5A33E2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A21D5F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19BBCC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FE49CE9">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22" w:name="_Toc14032"/>
      <w:r>
        <w:rPr>
          <w:rFonts w:hint="eastAsia" w:ascii="楷体_GB2312" w:hAnsi="楷体_GB2312" w:eastAsia="楷体_GB2312" w:cs="楷体_GB2312"/>
          <w:sz w:val="28"/>
          <w:szCs w:val="28"/>
        </w:rPr>
        <w:t>五、海口复兴城与澄迈生态软件园数字经济同质化竞争如何破解？</w:t>
      </w:r>
      <w:bookmarkEnd w:id="22"/>
    </w:p>
    <w:p w14:paraId="00F11A1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28284BA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经济是海南自贸港重点发展的三大主导产业之一，海口复兴城互联网信息产业园与澄迈海南生态软件园作为全省两大千亿级重点数字产业集聚园区，已成为推动数字经济发展的核心载体。海口复兴城聚焦数据跨境、直播出海等业态，集聚了上千名外籍主播，形成了特色鲜明的跨境数字贸易生态；澄迈生态软件园则以数字健康、数字文娱、共享平台经济为核心，集聚游戏企业 2000 余家，搭建了完善的游戏出海公共服务平台。</w:t>
      </w:r>
    </w:p>
    <w:p w14:paraId="5972D03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但两大园区在产业定位、业态布局、政策支持等方面存在明显同质化，导致资源配置分散、恶性竞争加剧，制约了全省数字经济整体效能提升。国家发改委指出，海口复兴城与澄迈软件园产业类型相似，相互之间竞争大于合作，这一问题已成为 “海澄文定” 一体化产业协同的突出短板。基于海南自贸港数字经济发展规划和 “海澄文定” 产业协同要求，需围绕 “差异化定位、产业链协同、资源共享、机制保障” 四大维度，细化同质化竞争破解路径。</w:t>
      </w:r>
    </w:p>
    <w:p w14:paraId="605FD98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13CDA7D0">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23" w:name="_Toc8900"/>
      <w:r>
        <w:rPr>
          <w:rFonts w:hint="eastAsia" w:ascii="仿宋_GB2312" w:hAnsi="仿宋_GB2312" w:eastAsia="仿宋_GB2312" w:cs="仿宋_GB2312"/>
          <w:sz w:val="28"/>
          <w:szCs w:val="28"/>
        </w:rPr>
        <w:t>1. 同质化竞争现状诊断与差异优势梳理</w:t>
      </w:r>
      <w:bookmarkEnd w:id="23"/>
    </w:p>
    <w:p w14:paraId="1C02938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前两大园区同质化竞争主要体现在三方面：一是核心业态重叠，均聚焦互联网信息服务、数字文娱、跨境数字贸易等领域，游戏出海、直播电商等业态竞争激烈；二是目标客群趋同，均以互联网头部企业、初创科技企业为重点招商对象，导致优质项目争夺白热化；三是政策支持雷同，均以税收优惠、场地补贴、人才引进等政策为主要招商手段，政策差异化不足。</w:t>
      </w:r>
    </w:p>
    <w:p w14:paraId="4381B59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入梳理两大园区的差异化优势：海口复兴城的核心优势在于区位交通便利，紧邻海口核心城区，国际化服务配套完善，跨境数据流动基础设施成熟，在直播出海、外籍人才集聚等方面具有先发优势；澄迈生态软件园的核心优势在于产业集群完整，已形成从研发、测试到发行的全链条数字文娱产业生态，游戏出海公共服务平台功能完善，土地空间资源充足，在数字健康、共享平台经济等领域布局较深。</w:t>
      </w:r>
    </w:p>
    <w:p w14:paraId="6C673E8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需精准分析全省数字经济发展的短板领域，包括工业互联网、数字政务、智慧旅游、跨境数据服务外包等，为两大园区差异化定位提供方向。所有分析均需基于权威数据，包括两大园区的企业数量、产业产值、主导业态占比等，确保现状诊断的准确性。</w:t>
      </w:r>
    </w:p>
    <w:p w14:paraId="0A004FCD">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24" w:name="_Toc23841"/>
      <w:r>
        <w:rPr>
          <w:rFonts w:hint="eastAsia" w:ascii="仿宋_GB2312" w:hAnsi="仿宋_GB2312" w:eastAsia="仿宋_GB2312" w:cs="仿宋_GB2312"/>
          <w:sz w:val="28"/>
          <w:szCs w:val="28"/>
        </w:rPr>
        <w:t>2. 差异化定位的具体路径设计</w:t>
      </w:r>
      <w:bookmarkEnd w:id="24"/>
    </w:p>
    <w:p w14:paraId="551DB05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基于 “分工协作、优势互补” 原则，明确两大园区的核心定位：</w:t>
      </w:r>
    </w:p>
    <w:p w14:paraId="4E6ED73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海口复兴城定位为 “跨境数字贸易创新高地”，重点发展三大特色业态：一是跨境直播电商，依托外籍主播资源优势，打造面向东南亚的跨境直播电商总部基地，重点发展特色文创、热带农产品等品类的跨境销售；二是数据跨境服务，聚焦跨境数据交易、国际数据服务外包等业态，利用海口跨境数据流动试点政策，构建国际化数据服务生态；三是数字金融服务，发展数字支付、跨境金融科技等产业，为跨境数字贸易提供金融支撑。</w:t>
      </w:r>
    </w:p>
    <w:p w14:paraId="0346BE9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澄迈生态软件园定位为 “数字产业生态集群基地”，重点发展三大核心业态：一是数字文娱精品化，聚焦游戏研发、动漫制作、数字内容创作等核心环节，打造高端数字文娱产业集群，与海口复兴城的跨境发行环节形成分工；二是数字健康产业化，发展智慧医疗、远程诊断、健康管理等业态，依托海南自贸港医疗旅游政策，构建 “数字 + 医疗” 融合发展生态；三是工业互联网与数字服务外包，承接全省工业企业数字化转型服务，发展面向东南亚的 “来数加工” 等跨境数据服务外包业务，填补全省产业空白。</w:t>
      </w:r>
    </w:p>
    <w:p w14:paraId="5351895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同时，划定两大园区的产业禁止和限制清单，避免同质化业态重复布局，引导园区聚焦核心优势领域深耕细作。</w:t>
      </w:r>
    </w:p>
    <w:p w14:paraId="33AEA059">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25" w:name="_Toc11662"/>
      <w:r>
        <w:rPr>
          <w:rFonts w:hint="eastAsia" w:ascii="仿宋_GB2312" w:hAnsi="仿宋_GB2312" w:eastAsia="仿宋_GB2312" w:cs="仿宋_GB2312"/>
          <w:sz w:val="28"/>
          <w:szCs w:val="28"/>
        </w:rPr>
        <w:t>3. 产业链协同机制的构建与实施</w:t>
      </w:r>
      <w:bookmarkEnd w:id="25"/>
    </w:p>
    <w:p w14:paraId="7B78DBD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 “研发 - 应用 - 发行” 的产业链分工协同机制：一是纵向产业链分工，澄迈生态软件园重点承担数字产品研发、技术创新等上游环节，海口复兴城重点承担产品测试、市场推广、跨境发行等下游环节，建立跨园区产业链合作联盟，推行 “澄迈研发 + 海口出海” 的协同模式；二是横向产业互补，针对数字政务、智慧旅游等全省重点领域，由两大园区联合组建项目联合体，共同承接重大数字化项目，避免内部竞争；三是创新资源共享，建立跨园区技术创新平台共享机制，澄迈的数字技术研发平台与海口的跨境数据测试平台相互开放，降低企业创新成本。</w:t>
      </w:r>
    </w:p>
    <w:p w14:paraId="6F3B1E5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联合招商与项目流转机制：一是搭建全省统一的数字经济招商平台，整合两大园区招商资源，共享招商信息，避免同质化项目恶性竞争；二是制定项目流转标准，对不符合本园区定位的优质项目，通过利益共享机制流转至另一园区，例如海口复兴城招引的游戏研发项目可流转至澄迈生态软件园，澄迈招引的跨境发行项目可流转至海口复兴城；三是实行跨园区项目利益分成，参照 “海澄文定” 产业合作利益分配机制，对流转项目和联合招商项目实行税收分成、产值共享，调动园区协同积极性。</w:t>
      </w:r>
    </w:p>
    <w:p w14:paraId="6CEAB8B2">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26" w:name="_Toc3879"/>
      <w:r>
        <w:rPr>
          <w:rFonts w:hint="eastAsia" w:ascii="仿宋_GB2312" w:hAnsi="仿宋_GB2312" w:eastAsia="仿宋_GB2312" w:cs="仿宋_GB2312"/>
          <w:sz w:val="28"/>
          <w:szCs w:val="28"/>
        </w:rPr>
        <w:t>4. 资源共享与政策差异化设计</w:t>
      </w:r>
      <w:bookmarkEnd w:id="26"/>
    </w:p>
    <w:p w14:paraId="1498905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源共享是破解同质化的重要支撑：一是基础设施共享，推进两大园区之间的网络专线建设，实现跨境数据传输设施互联互通；共享算力中心、数据存储中心等公共基础设施，降低企业运营成本；二是人才资源共享，建立跨园区人才自由流动机制，实行人才资质互认、社保互通，联合举办数字经济人才招聘会和培训活动；三是公共服务共享，整合两大园区的创业孵化、法律财税、知识产权等公共服务资源，构建一体化服务平台。</w:t>
      </w:r>
    </w:p>
    <w:p w14:paraId="6F67154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政策差异化是引导园区差异化发展的关键：海口复兴城重点强化跨境数字贸易相关政策，包括外籍人才停居留便利、跨境数据流动许可、跨境支付结算便利化等专项政策；澄迈生态软件园重点强化产业生态培育政策，包括研发费用补贴、创新平台建设支持、产业链配套企业扶持等政策。省级层面制定数字经济产业差异化政策指导目录，避免园区政策同质化，引导园区形成特色优势。</w:t>
      </w:r>
    </w:p>
    <w:p w14:paraId="09B679AA">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27" w:name="_Toc15728"/>
      <w:r>
        <w:rPr>
          <w:rFonts w:hint="eastAsia" w:ascii="仿宋_GB2312" w:hAnsi="仿宋_GB2312" w:eastAsia="仿宋_GB2312" w:cs="仿宋_GB2312"/>
          <w:sz w:val="28"/>
          <w:szCs w:val="28"/>
        </w:rPr>
        <w:t>5. 协同发展的保障机制与实施步骤</w:t>
      </w:r>
      <w:bookmarkEnd w:id="27"/>
    </w:p>
    <w:p w14:paraId="00755F1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三大保障机制确保协同落地：一是成立数字经济协同发展领导小组，由省工信厅牵头，联合海口、澄迈两地政府和两大园区管理机构，负责统筹协调差异化定位、产业链协同等重大事项；二是建立园区协同发展考核机制，将协同合作成效纳入园区和地方政府年度绩效考核，考核指标包括跨园区合作项目数量、产业链协同产值、资源共享程度等；三是设立数字经济协同发展专项基金，支持跨园区产业链合作、创新平台共建、人才联合培养等项目。</w:t>
      </w:r>
    </w:p>
    <w:p w14:paraId="4E4F1FA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实施步骤分三阶段推进：第一阶段（1 年内），完成两大园区差异化定位规划编制，建立联合招商和信息共享机制，启动首批跨园区合作项目；第二阶段（2-3 年），完善产业链协同机制，实现基础设施互联互通和公共服务共享，形成 “研发 - 发行 - 应用” 的协同发展格局；第三阶段（3-5 年），建成全国领先的数字经济协同发展示范区，两大园区成为海南自贸港数字经济高质量发展的核心引擎。</w:t>
      </w:r>
    </w:p>
    <w:p w14:paraId="22228FC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所有破解路径均需依据海南自贸港数字经济发展规划、“海澄文定” 一体化产业协同要求等权威政策，确保符合全省发展战略，具备可操作性和权威性。</w:t>
      </w:r>
    </w:p>
    <w:p w14:paraId="6AA6C92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77721C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3BEF73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7CD70A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2D2EE4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B0E201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9A1E24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E10F51C">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28" w:name="_Toc5708"/>
      <w:r>
        <w:rPr>
          <w:rFonts w:hint="eastAsia" w:ascii="楷体_GB2312" w:hAnsi="楷体_GB2312" w:eastAsia="楷体_GB2312" w:cs="楷体_GB2312"/>
          <w:sz w:val="28"/>
          <w:szCs w:val="28"/>
          <w:lang w:val="en-US" w:eastAsia="zh-CN"/>
        </w:rPr>
        <w:t>六</w:t>
      </w:r>
      <w:r>
        <w:rPr>
          <w:rFonts w:hint="eastAsia" w:ascii="楷体_GB2312" w:hAnsi="楷体_GB2312" w:eastAsia="楷体_GB2312" w:cs="楷体_GB2312"/>
          <w:sz w:val="28"/>
          <w:szCs w:val="28"/>
        </w:rPr>
        <w:t>、海口经济圈城际轨道交通规划滞后，澄迈应如何主动推动建设？</w:t>
      </w:r>
      <w:bookmarkEnd w:id="28"/>
    </w:p>
    <w:p w14:paraId="0361A28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0C8BFF3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海口经济圈作为海南自贸港核心增长极，“海澄文定” 四地同城化发展是提升区域竞争力的关键。当前，经济圈内部交通以公路为主，城际轨道交通仍处于规划研究阶段，尚未进入实质性建设阶段，与 “半小时通勤圈” 的发展目标差距较大。这一现状导致澄迈与海口核心城区的时空距离未能有效缩短，制约了产业协同、要素流动和公共服务共享。</w:t>
      </w:r>
    </w:p>
    <w:p w14:paraId="5FDE799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根据相关规划，“海澄文定” 与 “大三亚” 城际轨道交通预计在 “十五五” 期间分段分批启动，其作为支撑两大经济圈内部通勤化、快联快通的公共交通骨干，对提升重点区域同城化水平、优化营商环境具有直接作用。澄迈作为与海口地缘最相近、经济联系最紧密的市县，主动推动城际轨道交通建设，既是破解自身发展瓶颈的需要，也是落实 “海澄文定” 一体化发展战略的关键举措。基于此，需围绕 “规划衔接、项目推进、要素保障、协同联动” 四大维度，细化澄迈主动推动轨道交通建设的具体路径。</w:t>
      </w:r>
    </w:p>
    <w:p w14:paraId="3F0B73C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2E263EE1">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29" w:name="_Toc2495"/>
      <w:r>
        <w:rPr>
          <w:rFonts w:hint="eastAsia" w:ascii="仿宋_GB2312" w:hAnsi="仿宋_GB2312" w:eastAsia="仿宋_GB2312" w:cs="仿宋_GB2312"/>
          <w:sz w:val="28"/>
          <w:szCs w:val="28"/>
        </w:rPr>
        <w:t>1. 强化规划衔接，夯实建设基础</w:t>
      </w:r>
      <w:bookmarkEnd w:id="29"/>
    </w:p>
    <w:p w14:paraId="45DBD46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澄迈需率先完成自身规划与省级、经济圈层面规划的有效衔接：一是主动对接省发改委、省交通运输厅，将澄迈段轨道交通纳入《海南省 “十五五” 综合交通运输发展规划》和《海口经济圈一体化发展规划》，明确线路走向、站点布局和建设时序，争取将澄迈老城、金江等核心区域列为重点覆盖范围。二是开展专项规划编制，联合专业机构编制《澄迈县对接海口经济圈城际轨道交通专项规划》，细化澄迈段线路路由、站点选址、换乘枢纽规划等内容，重点规划老城至海口市区的快速联络线，衔接海口轨道交通网络。三是推动规划立法保障，建议通过省级层面立法明确海口经济圈城际轨道交通的建设主体、资金来源、管理体制等核心内容，为项目建设提供法律支撑。</w:t>
      </w:r>
    </w:p>
    <w:p w14:paraId="56376C3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需加强规划前期论证，组织开展客流预测、地质勘察、环境影响评价等基础工作，精准核算澄迈段建设成本、运营效益和社会效益，形成科学详实的可行性研究报告，为项目立项审批提供坚实依据。积极参与省级层面组织的规划评审会、专家论证会，主动发声争取澄迈核心诉求得到采纳。</w:t>
      </w:r>
    </w:p>
    <w:p w14:paraId="2325D71F">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0" w:name="_Toc31170"/>
      <w:r>
        <w:rPr>
          <w:rFonts w:hint="eastAsia" w:ascii="仿宋_GB2312" w:hAnsi="仿宋_GB2312" w:eastAsia="仿宋_GB2312" w:cs="仿宋_GB2312"/>
          <w:sz w:val="28"/>
          <w:szCs w:val="28"/>
        </w:rPr>
        <w:t>2. 主动发起联动，凝聚建设合力</w:t>
      </w:r>
      <w:bookmarkEnd w:id="30"/>
    </w:p>
    <w:p w14:paraId="38E016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鉴于城际轨道交通涉及跨市县协调，澄迈需发挥牵头作用，构建多方协同推进机制：一是建立四地联动机制，主动联合海口、文昌、定安三地政府，成立 “海澄文定” 城际轨道交通建设协同推进小组，定期召开联席会议，协商解决规划衔接、线路走向、站点布局等重大问题，形成 “统一规划、分段建设、协同运营” 的共识。二是争取省级统筹支持，向省发改委、省交通运输厅提交专项请示，建议由省级层面牵头成立项目建设领导小组，协调解决跨部门、跨市县的审批流程、资金筹措等难点问题，将城际轨道交通列为省级重点推进项目。三是强化部门协同，成立澄迈县轨道交通建设推进工作专班，整合县发改、交通、自然资源、财政等部门力量，明确各部门职责分工，形成 “一个专班统筹、多个部门协同” 的工作格局。</w:t>
      </w:r>
    </w:p>
    <w:p w14:paraId="64DA2BA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此外，需加强与铁路部门对接，主动联系国铁集团、海南铁路有限公司，争取在技术标准、线路衔接、运营管理等方面获得专业支持，推动城际轨道交通与环岛高铁、普速铁路实现互联互通。</w:t>
      </w:r>
    </w:p>
    <w:p w14:paraId="0D5F847F">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1" w:name="_Toc15698"/>
      <w:r>
        <w:rPr>
          <w:rFonts w:hint="eastAsia" w:ascii="仿宋_GB2312" w:hAnsi="仿宋_GB2312" w:eastAsia="仿宋_GB2312" w:cs="仿宋_GB2312"/>
          <w:sz w:val="28"/>
          <w:szCs w:val="28"/>
        </w:rPr>
        <w:t>3. 创新融资模式，保障资金投入</w:t>
      </w:r>
      <w:bookmarkEnd w:id="31"/>
    </w:p>
    <w:p w14:paraId="28B8E56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资金筹措是轨道交通建设的关键，澄迈需探索多元化融资路径：一是积极争取省级资金支持，主动对接省财政厅、省发改委，争取将澄迈段项目纳入省级重大项目资金支持范围，申请专项债、政府投资基金等资金倾斜。二是探索市场化融资模式，采用 “PPP + 专项债”“特许经营” 等模式，吸引社会资本参与项目建设和运营。可借鉴国内城市轨道交通建设经验，通过沿线土地综合开发、广告经营权出让、票务收入分成等方式，提高项目对社会资本的吸引力。三是建立跨市县资金分担机制，联合海口、文昌、定安三地，按照 “受益原则” 协商制定资金分担方案，根据各市县客流占比、经济受益程度等因素确定分担比例，减轻单一市县资金压力。</w:t>
      </w:r>
    </w:p>
    <w:p w14:paraId="3AED9AD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需强化资金保障管理，建立专项资金账户，实行专款专用，加强资金使用全过程监管，确保资金使用效益。提前做好项目融资方案策划，对接银行、保险等金融机构，争取长期低息贷款支持，优化项目融资结构。</w:t>
      </w:r>
    </w:p>
    <w:p w14:paraId="3C5A540F">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2" w:name="_Toc8136"/>
      <w:r>
        <w:rPr>
          <w:rFonts w:hint="eastAsia" w:ascii="仿宋_GB2312" w:hAnsi="仿宋_GB2312" w:eastAsia="仿宋_GB2312" w:cs="仿宋_GB2312"/>
          <w:sz w:val="28"/>
          <w:szCs w:val="28"/>
        </w:rPr>
        <w:t>4. 推进前期工作，加速项目落地</w:t>
      </w:r>
      <w:bookmarkEnd w:id="32"/>
    </w:p>
    <w:p w14:paraId="7FCCBDD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澄迈需主动先行开展项目前期工作，为项目开工建设创造条件：一是加快审批流程推进，提前梳理项目立项、规划许可、用地审批等环节的审批要求，主动对接省、市相关审批部门，争取开辟 “绿色通道”，简化审批流程、压缩审批时限。优先完成澄迈段项目用地预审、规划选址等前置审批手续，提前开展土地征收储备工作，确保项目一旦获批即可开工建设。二是启动重点节点建设，优先推进换乘枢纽、站点配套设施等前期工作，规划建设老城站、金江站等综合交通枢纽，实现轨道交通与公路客运、城市公交、共享单车等交通方式的无缝换乘。同步规划枢纽周边的商业、商务、居住等配套设施，打造 “轨道 + 物业” 的综合开发模式。三是加强项目宣传引导，通过政府官网、新闻媒体等渠道，宣传城际轨道交通建设的重大意义，及时发布项目进展情况，争取沿线群众和企业的支持，营造良好的建设氛围。</w:t>
      </w:r>
    </w:p>
    <w:p w14:paraId="450CD0D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此外，需建立项目前期工作台账，明确各项工作任务的责任主体、完成时限和工作标准，实行挂图作战、动态管理，确保前期工作有序推进。</w:t>
      </w:r>
    </w:p>
    <w:p w14:paraId="5F67B51A">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3" w:name="_Toc31017"/>
      <w:r>
        <w:rPr>
          <w:rFonts w:hint="eastAsia" w:ascii="仿宋_GB2312" w:hAnsi="仿宋_GB2312" w:eastAsia="仿宋_GB2312" w:cs="仿宋_GB2312"/>
          <w:sz w:val="28"/>
          <w:szCs w:val="28"/>
        </w:rPr>
        <w:t>5. 强化要素保障，破解建设瓶颈</w:t>
      </w:r>
      <w:bookmarkEnd w:id="33"/>
    </w:p>
    <w:p w14:paraId="4710A16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需提前做好各项要素保障准备，为项目建设扫清障碍：一是土地要素保障，提前开展澄迈段项目用地范围的调查摸底，制定科学合理的土地征收补偿方案，妥善解决征地拆迁中的矛盾问题，确保项目用地及时供应。探索采用 “土地置换”“增减挂钩” 等方式，盘活存量土地资源，保障项目建设用地指标。二是生态要素保障，严格按照生态环境保护相关要求，开展项目环境影响评价和生态保护修复方案编制，避开生态保护红线、基本农田等敏感区域，落实生态保护措施，确保项目建设与生态保护相协调。三是人才技术保障，引进轨道交通建设、运营管理等专业人才，组建专业工作团队；与国内轨道交通领域的科研院所、龙头企业建立合作关系，在技术标准、建设工艺、运营管理等方面获得专业支持。</w:t>
      </w:r>
    </w:p>
    <w:p w14:paraId="1126DC0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同时，需建立风险防控机制，提前预判项目建设中可能出现的地质风险、资金风险、社会稳定风险等，制定相应的风险应对预案，确保项目建设顺利推进。</w:t>
      </w:r>
    </w:p>
    <w:p w14:paraId="1299A84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FDE44A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BFC378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20CCD2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8A2BE6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9F235ED">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七</w:t>
      </w:r>
      <w:r>
        <w:rPr>
          <w:rFonts w:hint="eastAsia" w:ascii="楷体_GB2312" w:hAnsi="楷体_GB2312" w:eastAsia="楷体_GB2312" w:cs="楷体_GB2312"/>
          <w:sz w:val="28"/>
          <w:szCs w:val="28"/>
        </w:rPr>
        <w:t>、澄迈油服产业如何与海口港、文昌航天港形成 “陆海空” 产业联动？</w:t>
      </w:r>
    </w:p>
    <w:p w14:paraId="49743F0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245FCA3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作为海南油气服务产业的重要集聚地，依托老城经济开发区和海南生态软件园，已形成一定的油服产业基础，在油气设备维修、技术服务、数据处理等领域具备发展潜力。海口港作为海南自贸港核心枢纽港，拥有完善的港口物流设施和航线网络，是油气物资运输、中转的重要平台；文昌航天港作为我国唯一的濒海发射场，在商业航天、卫星应用、航天装备制造等领域具有独特优势。</w:t>
      </w:r>
    </w:p>
    <w:p w14:paraId="56A0F42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当前，三者尚未形成有效的产业联动机制，澄迈油服产业与海口港的物流优势、文昌航天港的航天技术优势缺乏深度融合，导致资源配置分散、产业附加值不高，未能形成 “陆海空” 协同发展的产业集群效应。在海南自贸港建设背景下，推动三者产业联动，既是延伸油气服务产业链、提升产业竞争力的需要，也是打造海南特色产业集群、落实 “陆海空” 统筹发展战略的关键举措。基于此，需围绕 “产业链协同、平台共建、资源共享、政策支撑” 四大维度，细化产业联动的具体路径。</w:t>
      </w:r>
    </w:p>
    <w:p w14:paraId="59C13B4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41B3EB1F">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4" w:name="_Toc4650"/>
      <w:r>
        <w:rPr>
          <w:rFonts w:hint="eastAsia" w:ascii="仿宋_GB2312" w:hAnsi="仿宋_GB2312" w:eastAsia="仿宋_GB2312" w:cs="仿宋_GB2312"/>
          <w:sz w:val="28"/>
          <w:szCs w:val="28"/>
        </w:rPr>
        <w:t>1. 梳理产业优势，明确联动定位</w:t>
      </w:r>
      <w:bookmarkEnd w:id="34"/>
    </w:p>
    <w:p w14:paraId="4382F71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首先需精准定位三者在 “陆海空” 产业联动中的功能角色：澄迈重点发挥油服产业基础和数字经济优势，聚焦油气服务高端环节，发展油气设备研发设计、技术服务、数据处理、跨境服务外包等业态，打造油气服务产业创新高地；海口港重点发挥枢纽港优势，提供油气物资运输、仓储、分拨、保税物流等服务，打造油气物资集散中心；文昌航天港重点发挥航天技术优势，推动航天技术在油气勘探、开发、检测等领域的应用，发展航天装备在油气领域的适配改造、卫星遥感油气资源勘探等新业态。</w:t>
      </w:r>
    </w:p>
    <w:p w14:paraId="2D05E2E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基于各自优势，梳理形成 “油气勘探开发 — 物资运输 — 技术服务 — 数据处理 — 应用拓展” 的完整产业链，明确各环节的主导主体和协同内容：澄迈负责技术研发、数据处理等高端环节，海口港负责物资运输、仓储等物流环节，文昌航天港负责航天技术赋能、装备适配等创新环节，形成分工明确、协同高效的产业联动格局。</w:t>
      </w:r>
    </w:p>
    <w:p w14:paraId="7FC5FDB5">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5" w:name="_Toc8547"/>
      <w:r>
        <w:rPr>
          <w:rFonts w:hint="eastAsia" w:ascii="仿宋_GB2312" w:hAnsi="仿宋_GB2312" w:eastAsia="仿宋_GB2312" w:cs="仿宋_GB2312"/>
          <w:sz w:val="28"/>
          <w:szCs w:val="28"/>
        </w:rPr>
        <w:t>2. 构建产业链协同，深化联动合作</w:t>
      </w:r>
      <w:bookmarkEnd w:id="35"/>
    </w:p>
    <w:p w14:paraId="2738B9F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围绕产业链各环节，推动三者开展深度协同合作：一是油气物资物流协同，澄迈油服企业与海口港签订长期合作协议，利用海口港的保税物流功能，开展油气设备、原材料的进口保税仓储、分拨配送服务，降低企业物流成本。借助海口港的航线网络，拓展油气服务设备的出口通道，实现 “澄迈制造 + 海口出口” 的协同模式。二是技术创新协同，澄迈联合文昌航天港设立 “航天 — 油气技术融合创新实验室”，推动航天遥感、卫星通信、高精度导航等技术在油气资源勘探、海上油气平台监测、油气管道巡检等领域的应用，开发针对性的技术解决方案和装备产品。三是数据共享协同，依托澄迈海南生态软件园的数据跨境流动优势，搭建 “陆海空” 产业数据共享平台，整合油气勘探数据、港口物流数据、航天遥感数据，为三者产业联动提供数据支撑。</w:t>
      </w:r>
    </w:p>
    <w:p w14:paraId="454445E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推动跨区域项目合作，联合开展油气服务产业园、航天技术应用示范基地等项目建设，吸引上下游企业集聚，形成产业集群效应。鼓励澄迈油服企业参与文昌航天港的基础设施建设和航天发射配套服务，拓展业务领域。</w:t>
      </w:r>
    </w:p>
    <w:p w14:paraId="161762AB">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6" w:name="_Toc18421"/>
      <w:r>
        <w:rPr>
          <w:rFonts w:hint="eastAsia" w:ascii="仿宋_GB2312" w:hAnsi="仿宋_GB2312" w:eastAsia="仿宋_GB2312" w:cs="仿宋_GB2312"/>
          <w:sz w:val="28"/>
          <w:szCs w:val="28"/>
        </w:rPr>
        <w:t>3. 共建共享平台，强化联动支撑</w:t>
      </w:r>
      <w:bookmarkEnd w:id="36"/>
    </w:p>
    <w:p w14:paraId="3321C43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搭建多元化合作平台是促进产业联动的重要载体：一是共建物流合作平台，由澄迈、海口、文昌三地政府联合推动，在海口港设立油气物资专用物流区，配套建设仓储、装卸、检测等设施，为澄迈油服企业和文昌航天港提供定制化物流服务。建立物流信息共享平台，实现货物运输实时跟踪、物流资源优化配置。二是共建技术创新平台，联合高校、科研院所成立 “油气 — 航天产业技术创新联盟”，开展关键技术攻关、成果转化和人才培养，共享科研设备、实验室等创新资源。依托澄迈海南生态软件园，搭建技术成果交易平台，促进油气服务技术与航天技术的交流转化。三是共建市场对接平台，定期举办 “陆海空” 产业联动对接会、招商推介会，组织澄迈油服企业、海口港物流企业、文昌航天港相关企业开展面对面洽谈，促进项目合作和资源对接。</w:t>
      </w:r>
    </w:p>
    <w:p w14:paraId="0C898E8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此外，推动基础设施互联互通，加快推进澄迈老城至海口港、文昌航天港的快速交通网络建设，提升物流运输效率；完善能源、通信等基础设施配套，为产业联动提供保障。</w:t>
      </w:r>
    </w:p>
    <w:p w14:paraId="74B2E761">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7" w:name="_Toc28349"/>
      <w:r>
        <w:rPr>
          <w:rFonts w:hint="eastAsia" w:ascii="仿宋_GB2312" w:hAnsi="仿宋_GB2312" w:eastAsia="仿宋_GB2312" w:cs="仿宋_GB2312"/>
          <w:sz w:val="28"/>
          <w:szCs w:val="28"/>
        </w:rPr>
        <w:t>4. 完善政策支撑，优化联动环境</w:t>
      </w:r>
      <w:bookmarkEnd w:id="37"/>
    </w:p>
    <w:p w14:paraId="63AD4FB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健全的政策体系是产业联动持续推进的保障：一是争取省级专项政策，联合海口、文昌两地政府向省发改委、省工信厅提交专项请示，建议出台《支持 “陆海空” 产业联动发展的若干政策措施》，在项目审批、资金支持、税收优惠、人才引进等方面给予专项支持。二是制定本地配套政策，澄迈县出台针对性的扶持政策，对参与产业联动的本地企业给予研发补贴、物流补贴、项目奖励等支持；设立产业联动发展专项资金，支持合作平台建设、关键技术攻关等项目。三是建立利益共享机制，制定跨区域产业合作利益分配方案，对联合招商项目、合作开发项目实行税收分成、GDP 核算分区统计政策，调动三地政府和企业的联动积极性。</w:t>
      </w:r>
    </w:p>
    <w:p w14:paraId="50C6FCB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同时，优化营商环境，推行 “一站式”政务服务，为跨区域企业提供注册登记、审批备案等便捷服务；建立产业联动协调机制，及时解决企业在合作过程中遇到的困难和问题，保障产业联动顺畅推进。</w:t>
      </w:r>
    </w:p>
    <w:p w14:paraId="7C089AC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14060DD">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八</w:t>
      </w:r>
      <w:r>
        <w:rPr>
          <w:rFonts w:hint="eastAsia" w:ascii="楷体_GB2312" w:hAnsi="楷体_GB2312" w:eastAsia="楷体_GB2312" w:cs="楷体_GB2312"/>
          <w:sz w:val="28"/>
          <w:szCs w:val="28"/>
        </w:rPr>
        <w:t>、澄迈热带农产品如何深度融入海口 “菜篮子” 保障体系，提升供应链稳定性？</w:t>
      </w:r>
    </w:p>
    <w:p w14:paraId="2051E2F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43E0E33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海口 “菜篮子” 保障体系是保障海口市民基本生活需求、稳定市场物价的重要民生工程，而澄迈作为海口的近邻，拥有丰富的热带农产品资源和良好的农业产业基础，是海口 “菜篮子” 重要的供给基地。当前，澄迈热带农产品已部分进入海口市场，但仍存在融入程度不深、供应链不稳定等问题，主要表现为产销对接机制不健全、冷链物流设施不完善、产品标准化水平不高、品牌影响力不足等，导致部分优质农产品 “出村难、进城贵”，难以充分满足海口市场的多元化需求。</w:t>
      </w:r>
    </w:p>
    <w:p w14:paraId="07E39ED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随着 “海澄文定” 一体化发展推进，农产品供应链协同是重要内容之一。澄迈深度融入海口 “菜篮子” 保障体系，不仅能拓宽本地农产品销售渠道、增加农民收入，还能提升海口 “菜篮子” 供给的稳定性和安全性，实现互利共赢。基于此，需围绕 “产销对接、冷链物流、质量标准、品牌建设” 四大维度，细化澄迈热带农产品融入海口 “菜篮子” 保障体系、提升供应链稳定性的具体路径。</w:t>
      </w:r>
    </w:p>
    <w:p w14:paraId="3BFB4F1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2DDCEA6D">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8" w:name="_Toc9569"/>
      <w:r>
        <w:rPr>
          <w:rFonts w:hint="eastAsia" w:ascii="仿宋_GB2312" w:hAnsi="仿宋_GB2312" w:eastAsia="仿宋_GB2312" w:cs="仿宋_GB2312"/>
          <w:sz w:val="28"/>
          <w:szCs w:val="28"/>
        </w:rPr>
        <w:t>1. 健全产销对接机制，拓宽融入渠道</w:t>
      </w:r>
      <w:bookmarkEnd w:id="38"/>
    </w:p>
    <w:p w14:paraId="1179A82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构建稳定高效的产销对接机制是深度融入的核心：一是建立政府层面协作机制，澄迈县农业农村局与海口市商务局、市 “菜篮子” 集团建立常态化沟通协调机制，签订《农产品产销战略合作协议》，明确供给品类、数量、质量标准和保障责任，将澄迈列为海口 “菜篮子” 重点供给基地。二是搭建多元化对接平台，定期组织澄迈农产品生产主体参加海口 “菜篮子” 产销对接会、农产品展销会，促进生产企业、合作社与海口 “菜篮子” 集团、大型商超、农贸市场、餐饮企业等建立长期稳定的合作关系。三是推进订单农业发展，引导澄迈农业经营主体根据海口市场需求，发展 “订单种植”“定制生产”，按照海口 “菜篮子” 的质量标准和包装要求组织生产，实现 “以销定产、产销匹配”。</w:t>
      </w:r>
    </w:p>
    <w:p w14:paraId="3F761B5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同时，探索 “农超对接”“农企对接”“农社对接”“农校对接” 等多元化销售模式，鼓励海口大型商超在澄迈建立直采基地，支持澄迈农产品合作社在海口设立直销门店、专柜，减少中间流通环节，降低流通成本。利用电商平台拓展线上销售渠道，与海口本土电商平台、主流电商平台合作，开设澄迈农产品专区，开展直播带货、社区团购等业务，提升市场覆盖面。</w:t>
      </w:r>
    </w:p>
    <w:p w14:paraId="073A61F1">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39" w:name="_Toc20782"/>
      <w:r>
        <w:rPr>
          <w:rFonts w:hint="eastAsia" w:ascii="仿宋_GB2312" w:hAnsi="仿宋_GB2312" w:eastAsia="仿宋_GB2312" w:cs="仿宋_GB2312"/>
          <w:sz w:val="28"/>
          <w:szCs w:val="28"/>
        </w:rPr>
        <w:t>2. 完善冷链物流体系，保障供应链稳定</w:t>
      </w:r>
      <w:bookmarkEnd w:id="39"/>
    </w:p>
    <w:p w14:paraId="529B931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冷链物流是保障农产品新鲜度、延长货架期的关键：一是加快冷链设施建设，统筹规划建设澄迈县农产品冷链物流园，配套建设低温冷库、分拣加工中心、冷链配送中心等设施，提升农产品预冷、分拣、包装、冷藏、运输等环节的处理能力。支持农业经营主体建设小型冷库、移动冷库，解决农产品产地 “最先一公里” 保鲜问题。二是强化冷链运输能力，鼓励物流企业购置冷藏车、冷链配送车辆，构建覆盖澄迈主要乡镇、对接海口的冷链运输网络，实现农产品从产地到海口市场的全程冷链运输。推动冷链物流企业与农产品生产主体、海口销售终端建立合作，开展一体化冷链配送服务。三是推进冷链物流信息化建设，搭建澄迈农产品冷链物流信息平台，整合冷链设施资源、车辆信息、订单信息等，实现冷链物流全程可视化跟踪、温控监控，提高物流运作效率和透明度。</w:t>
      </w:r>
    </w:p>
    <w:p w14:paraId="6BC0537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同时，加强与海口冷链物流体系的对接，推动澄迈冷链物流园与海口 “菜篮子” 冷链物流中心实现资源共享、互联互通，形成 “澄迈产地预冷 + 海口集中配送” 的冷链物流协同模式，提升供应链整体效率。</w:t>
      </w:r>
    </w:p>
    <w:p w14:paraId="41B64669">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0" w:name="_Toc11401"/>
      <w:r>
        <w:rPr>
          <w:rFonts w:hint="eastAsia" w:ascii="仿宋_GB2312" w:hAnsi="仿宋_GB2312" w:eastAsia="仿宋_GB2312" w:cs="仿宋_GB2312"/>
          <w:sz w:val="28"/>
          <w:szCs w:val="28"/>
        </w:rPr>
        <w:t>3. 强化质量标准建设，提升产品竞争力</w:t>
      </w:r>
      <w:bookmarkEnd w:id="40"/>
    </w:p>
    <w:p w14:paraId="20CE0E2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标准化生产是农产品进入海口 “菜篮子” 保障体系的前提：一是制定地方标准体系，结合澄迈热带农产品特点，参照国家、行业标准，制定完善澄迈富硒水稻、冬季瓜菜、热带水果等主导农产品的生产技术规程、质量安全标准和包装标识标准，实现 “从田间到餐桌” 的全流程标准化管理。二是推进标准化生产示范，建设一批标准化生产示范园、示范基地，推广绿色防控、测土配方施肥等生态种植技术，引导农业经营主体按标准组织生产，规范农业投入品使用，从源头保障农产品质量安全。三是完善质量追溯体系，依托海南省农产品质量安全追溯平台，建立澄迈农产品质量追溯系统，实现农产品生产、加工、流通、销售等各环节信息可查询、可追溯，增强消费者信任度。</w:t>
      </w:r>
    </w:p>
    <w:p w14:paraId="7DC58A5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加强质量检测能力建设，提升澄迈县农产品质量安全检验检测中心的检测水平，在主要乡镇、生产基地设立检测站点，开展常态化质量检测，严把农产品质量关。鼓励农产品生产主体申请 “三品一标” 认证（绿色食品、有机食品、无公害农产品、地理标志产品），提升产品附加值和市场竞争力。</w:t>
      </w:r>
    </w:p>
    <w:p w14:paraId="4D891AE0">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1" w:name="_Toc21608"/>
      <w:r>
        <w:rPr>
          <w:rFonts w:hint="eastAsia" w:ascii="仿宋_GB2312" w:hAnsi="仿宋_GB2312" w:eastAsia="仿宋_GB2312" w:cs="仿宋_GB2312"/>
          <w:sz w:val="28"/>
          <w:szCs w:val="28"/>
        </w:rPr>
        <w:t>4. 加强品牌建设推广，提升市场认可度</w:t>
      </w:r>
      <w:bookmarkEnd w:id="41"/>
    </w:p>
    <w:p w14:paraId="2CC919F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品牌是提升农产品价值、增强市场竞争力的核心：一是打造区域公共品牌，整合澄迈农产品资源，重点打造 “澄迈富硒农产品”“澄迈冬季瓜菜” 等区域公共品牌，统一品牌形象、包装设计和宣传推广，提升品牌知名度和影响力。加强地理标志产品保护和运用，扩大澄迈福橙、澄迈无核荔枝等特色产品的品牌效应。二是强化品牌宣传推广，联合海口市开展品牌联合推广活动，在海口主流媒体、户外广告、公交地铁等平台投放澄迈农产品品牌广告，参加国内外农产品展销会、博览会，提升品牌曝光度。利用新媒体平台开展品牌宣传，通过短视频、直播、公众号等形式，讲述澄迈农产品故事，展示标准化生产过程，增强品牌吸引力。三是提升品牌服务水平，建立品牌授权管理机制，规范品牌使用，保障品牌质量；加强售后服务，建立消费者反馈机制，及时处理消费者投诉建议，维护品牌声誉。</w:t>
      </w:r>
    </w:p>
    <w:p w14:paraId="14C182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同时，加强与海口 “菜篮子” 品牌的合作，争取将澄迈优质农产品纳入海口 “菜篮子” 品牌体系，借助海口 “菜篮子” 的品牌影响力，提升澄迈农产品的市场认可度和占有率。</w:t>
      </w:r>
    </w:p>
    <w:p w14:paraId="556B170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D2D8B9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FD40A5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69FEFA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A8B0913">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九</w:t>
      </w:r>
      <w:r>
        <w:rPr>
          <w:rFonts w:hint="eastAsia" w:ascii="楷体_GB2312" w:hAnsi="楷体_GB2312" w:eastAsia="楷体_GB2312" w:cs="楷体_GB2312"/>
          <w:sz w:val="28"/>
          <w:szCs w:val="28"/>
        </w:rPr>
        <w:t>、澄迈物流产业如何对接马村港三期与美兰国际机场，打造区域物流枢纽？</w:t>
      </w:r>
    </w:p>
    <w:p w14:paraId="54FB446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4897B82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马村港作为海南自贸港重要的综合性港口，其三期工程已于 2025 年开工建设，建成后将大幅提升港口吞吐能力和物流服务水平；美兰国际机场作为海南重要的航空枢纽，正加快推进三期项目前期工作，着力打造国际性综合交通枢纽。澄迈县地处海口经济圈核心区域，紧邻马村港，距离美兰国际机场较近，具备对接两大交通枢纽、发展物流产业的独特区位优势。</w:t>
      </w:r>
    </w:p>
    <w:p w14:paraId="5E07D7F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当前，澄迈物流产业存在基础设施不完善、产业规模较小、与两大枢纽对接不紧密、物流服务能力不足等问题，未能充分发挥区位优势，难以承接两大枢纽的物流外溢需求。在 “海澄文定” 一体化和自贸港建设背景下，澄迈对接马村港三期与美兰国际机场，打造区域物流枢纽，既是推动自身产业转型升级的需要，也是完善海口经济圈物流体系、提升区域物流效率的关键举措。基于此，需围绕 “设施对接、产业协同、功能提升、政策保障” 四大维度，细化澄迈物流产业发展的具体路径。</w:t>
      </w:r>
    </w:p>
    <w:p w14:paraId="1DBC74F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5EB0463D">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2" w:name="_Toc27753"/>
      <w:r>
        <w:rPr>
          <w:rFonts w:hint="eastAsia" w:ascii="仿宋_GB2312" w:hAnsi="仿宋_GB2312" w:eastAsia="仿宋_GB2312" w:cs="仿宋_GB2312"/>
          <w:sz w:val="28"/>
          <w:szCs w:val="28"/>
        </w:rPr>
        <w:t>1. 推进基础设施对接，构建互联互通网络</w:t>
      </w:r>
      <w:bookmarkEnd w:id="42"/>
    </w:p>
    <w:p w14:paraId="7C7DFBC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础设施互联互通是物流产业对接的基础：一是加快物流通道建设，重点推进澄迈老城至马村港三期的疏港公路升级改造，建设专用物流通道，提升货物运输效率；规划建设澄迈至美兰国际机场的快速物流通道，衔接海口绕城高速、海琼高速等交通干线，实现 “港口 — 园区 — 机场” 的快速联通。二是建设物流枢纽载体，在老城经济开发区规划建设澄迈综合物流园，定位为对接马村港和美兰国际机场的物流中转基地，配套建设仓储配送区、分拣加工区、冷链物流区、跨境物流区等功能分区，实现货物的集中存储、分拣、配送和增值加工。三是完善物流配套设施，在物流园内建设集装箱堆场、散货堆场、停车场等配套设施，配备龙门吊、叉车、分拣设备等物流装备；推进物流信息化基础设施建设，实现物流园与马村港、美兰国际机场的信息系统互联互通。</w:t>
      </w:r>
    </w:p>
    <w:p w14:paraId="42C5782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同时，加强与两大枢纽的设施衔接，推动澄迈综合物流园与马村港三期的码头、仓储设施实现无缝对接，建立 “港口 — 物流园” 联动机制；与美兰国际机场合作建设航空货运分拨中心，承接航空货物的中转、分拨业务，形成 “机场 — 物流园” 协同模式。</w:t>
      </w:r>
    </w:p>
    <w:p w14:paraId="7C985725">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3" w:name="_Toc32060"/>
      <w:r>
        <w:rPr>
          <w:rFonts w:hint="eastAsia" w:ascii="仿宋_GB2312" w:hAnsi="仿宋_GB2312" w:eastAsia="仿宋_GB2312" w:cs="仿宋_GB2312"/>
          <w:sz w:val="28"/>
          <w:szCs w:val="28"/>
        </w:rPr>
        <w:t>2. 深化产业协同合作，拓展物流服务领域</w:t>
      </w:r>
      <w:bookmarkEnd w:id="43"/>
    </w:p>
    <w:p w14:paraId="1F09372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围绕两大枢纽的功能定位，深化物流产业协同合作：一是对接马村港三期的临港物流需求，发展临港物流产业，重点提供集装箱拆拼箱、货物仓储、分拨配送、保税物流等服务，承接马村港的进出口货物中转业务。利用马村港的保税功能，发展保税仓储、保税加工、保税展示等业务，打造临港保税物流中心。二是对接美兰国际机场的航空物流需求，发展航空物流产业，重点提供航空货运代理、中转分拨、冷链配送等服务，承接生鲜农产品、高端制造业零部件、跨境电商货物等航空运输业务。建设航空物流配套基地，为机场提供货物预处理、包装、仓储等配套服务。三是发展多式联运业务，依托 “港口 + 机场” 的交通优势，探索开展 “海空联运”“公铁联运”“陆海联运” 等多式联运模式，打通 “海运 — 航空”“公路 — 航空” 的运输通道，为企业提供一体化物流解决方案。</w:t>
      </w:r>
    </w:p>
    <w:p w14:paraId="19B02B0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与两大枢纽的运营合作，与马村港、美兰国际机场签订战略合作协议，建立物流信息共享、货物联运、利益共享等机制，实现资源互补、协同发展。吸引国内外知名物流企业入驻澄迈，设立区域总部、分拨中心或运营基地，提升物流产业规模化、专业化水平。</w:t>
      </w:r>
    </w:p>
    <w:p w14:paraId="0BAA162A">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4" w:name="_Toc26931"/>
      <w:r>
        <w:rPr>
          <w:rFonts w:hint="eastAsia" w:ascii="仿宋_GB2312" w:hAnsi="仿宋_GB2312" w:eastAsia="仿宋_GB2312" w:cs="仿宋_GB2312"/>
          <w:sz w:val="28"/>
          <w:szCs w:val="28"/>
        </w:rPr>
        <w:t>3. 提升物流功能能级，打造特色物流集群</w:t>
      </w:r>
      <w:bookmarkEnd w:id="44"/>
    </w:p>
    <w:p w14:paraId="77514A7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依托自贸港政策优势，提升澄迈物流产业的功能能级：一是发展跨境物流，借助马村港的 “一线放开、二线管住” 政策和澄迈的区位优势，建设跨境物流综合服务平台，提供报关、报检、退税、结汇等一站式服务，发展跨境电商物流、国际快递物流等业态。对接海南自贸港 “零关税” 政策，发展保税物流、免税品物流等特色业务。二是发展冷链物流，针对海南热带农产品、海鲜产品等保鲜需求，建设高标准冷链物流设施，发展全程冷链配送服务，对接马村港的冷链货物运输和美兰国际机场的航空冷链物流，打造区域冷链物流中心。三是发展智慧物流，推进物流产业数字化转型，建设智慧物流平台，整合物流信息资源，实现货物运输、仓储、配送等环节的智能化管理。推广应用物联网、大数据、人工智能等新技术，提升物流运作效率和服务质量。</w:t>
      </w:r>
    </w:p>
    <w:p w14:paraId="0E48942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培育特色物流产业集群，围绕跨境物流、冷链物流、智慧物流等重点领域，集聚上下游企业，形成集物流运输、仓储配送、分拣加工、信息服务、金融服务等为一体的物流产业集群，提升区域物流产业的整体竞争力。</w:t>
      </w:r>
    </w:p>
    <w:p w14:paraId="332B044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5" w:name="_Toc3887"/>
      <w:r>
        <w:rPr>
          <w:rFonts w:hint="eastAsia" w:ascii="仿宋_GB2312" w:hAnsi="仿宋_GB2312" w:eastAsia="仿宋_GB2312" w:cs="仿宋_GB2312"/>
          <w:sz w:val="28"/>
          <w:szCs w:val="28"/>
        </w:rPr>
        <w:t>4. 完善政策保障体系，优化物流发展环境</w:t>
      </w:r>
      <w:bookmarkEnd w:id="45"/>
    </w:p>
    <w:p w14:paraId="0F1BE52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健全的政策保障是物流产业发展的重要支撑：一是争取省级政策支持，向省发改委、省交通运输厅、省商务厅等部门争取将澄迈综合物流园列为省级重点物流园区，在项目审批、土地供应、资金支持等方面给予倾斜；争取将澄迈纳入海南自贸港物流产业发展专项政策支持范围，享受税收优惠、人才引进等政策。二是制定本地扶持政策，出台《澄迈县促进物流产业发展的若干政策措施》，对物流企业的入驻、基础设施建设、技术创新、人才引进等给予补贴和奖励；设立物流产业发展专项资金，支持重点物流项目建设和物流企业发展。三是优化营商环境，深化 “放管服” 改革，简化物流项目审批流程，推行 “一站式” 政务服务；完善物流产业发展的法律法规体系，规范市场秩序，保障物流企业合法权益。</w:t>
      </w:r>
    </w:p>
    <w:p w14:paraId="3F7A249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同时，加强物流人才培养和引进，与高校、职业院校合作设立物流专业，培养实用型物流人才；制定人才引进计划，吸引国内外高端物流管理人才和专业技术人才来澄迈创业就业，为物流产业发展提供人才保障。</w:t>
      </w:r>
    </w:p>
    <w:p w14:paraId="10D3FE5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302D2B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1C0002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23FDCC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E55BBE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D2EE837">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46" w:name="_Toc20485"/>
      <w:r>
        <w:rPr>
          <w:rFonts w:hint="eastAsia" w:ascii="楷体_GB2312" w:hAnsi="楷体_GB2312" w:eastAsia="楷体_GB2312" w:cs="楷体_GB2312"/>
          <w:sz w:val="28"/>
          <w:szCs w:val="28"/>
          <w:lang w:val="en-US" w:eastAsia="zh-CN"/>
        </w:rPr>
        <w:t>十</w:t>
      </w:r>
      <w:r>
        <w:rPr>
          <w:rFonts w:hint="eastAsia" w:ascii="楷体_GB2312" w:hAnsi="楷体_GB2312" w:eastAsia="楷体_GB2312" w:cs="楷体_GB2312"/>
          <w:sz w:val="28"/>
          <w:szCs w:val="28"/>
        </w:rPr>
        <w:t>、澄迈数据跨境流动试点如何延伸至油气服务、农业等领域？</w:t>
      </w:r>
      <w:bookmarkEnd w:id="46"/>
    </w:p>
    <w:p w14:paraId="35658B1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23F4A4D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澄迈作为海南自贸港数据跨境流动试点的核心区域，依托海南生态软件园已在 “游戏出海”“来数加工” 等领域取得显著成效，累计部署 262 款游戏，玩家覆盖 148 个国家和地区，“来数加工” 业务也已形成可复制推广的经验。海南自贸港已建立数据安全有序流动统筹推进机制，出台了《海南自由贸易港数字经济促进条例》《海南自由贸易港国际数据中心发展规定》等专项立法，发布了《海南自由贸易港数据出境管理清单（负面清单）》，为数据跨境流动提供了完善的制度保障。</w:t>
      </w:r>
    </w:p>
    <w:p w14:paraId="7B16988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前，澄迈数据跨境流动试点主要集中在数字文娱领域，尚未充分延伸至油气服务、农业等本地优势产业，导致数据要素对实体经济的赋能作用未能充分发挥。《海南自由贸易港数据出境管理清单（负面清单）》已聚焦深海、种业等重点领域，为相关产业数据跨境流动提供了政策指引。将数据跨境流动试点延伸至油气服务、农业等领域，既是澄迈发挥自贸港政策优势、推动产业数字化转型的需要，也是拓展数据跨境应用场景、提升试点示范效应的关键举措。基于此，需围绕 “场景挖掘、制度完善、平台搭建、企业培育” 四大维度，细化试点延伸的具体路径。</w:t>
      </w:r>
    </w:p>
    <w:p w14:paraId="4B4AD7D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2F698493">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7" w:name="_Toc25551"/>
      <w:r>
        <w:rPr>
          <w:rFonts w:hint="eastAsia" w:ascii="仿宋_GB2312" w:hAnsi="仿宋_GB2312" w:eastAsia="仿宋_GB2312" w:cs="仿宋_GB2312"/>
          <w:sz w:val="28"/>
          <w:szCs w:val="28"/>
        </w:rPr>
        <w:t>1. 挖掘特色应用场景，明确试点延伸重点</w:t>
      </w:r>
      <w:bookmarkEnd w:id="47"/>
    </w:p>
    <w:p w14:paraId="45DB8EE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结合澄迈产业基础和自贸港政策导向，重点挖掘两大领域的应用场景：在油气服务领域，聚焦油气勘探开发数据跨境共享、油气设备远程运维数据跨境传输、国际油气服务合作数据跨境处理等场景。例如，支持澄迈油服企业与东南亚国家油气公司开展合作，通过数据跨境流动实现油气勘探数据、开采技术数据的共享分析；推动油气设备制造企业开展远程运维服务，实现设备运行数据跨境实时传输和分析处理。在农业领域，重点围绕热带农产品种植数据跨境共享、农产品质量追溯数据跨境查询、农业技术跨境交流数据传输等场景。例如，支持澄迈农业企业与国际农业科研机构合作，共享热带作物种植数据、病虫害防治数据；推动 “澄迈富硒农产品” 质量追溯数据向海外市场开放查询，提升产品国际认可度。</w:t>
      </w:r>
    </w:p>
    <w:p w14:paraId="52A7527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开展场景可行性论证，组织专业机构、企业代表、行业专家对挖掘的应用场景进行全面评估，分析数据跨境流动的必要性、可行性和安全风险，筛选出技术成熟、需求迫切、风险可控的试点场景，形成《澄迈县数据跨境流动试点延伸应用场景清单》，明确每个场景的试点主体、实施路径和预期目标。</w:t>
      </w:r>
    </w:p>
    <w:p w14:paraId="3DCF1F74">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8" w:name="_Toc6526"/>
      <w:r>
        <w:rPr>
          <w:rFonts w:hint="eastAsia" w:ascii="仿宋_GB2312" w:hAnsi="仿宋_GB2312" w:eastAsia="仿宋_GB2312" w:cs="仿宋_GB2312"/>
          <w:sz w:val="28"/>
          <w:szCs w:val="28"/>
        </w:rPr>
        <w:t>2. 完善制度保障体系，破解试点延伸障碍</w:t>
      </w:r>
      <w:bookmarkEnd w:id="48"/>
    </w:p>
    <w:p w14:paraId="7B51531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针对油气服务、农业领域数据跨境流动的特殊性，完善相关制度设计：一是细化数据出境管理规则，对照《海南自由贸易港数据出境管理清单（负面清单）》，结合油气服务、农业领域数据特点，制定《澄迈县油气服务领域数据跨境流动管理指引》《澄迈县农业领域数据跨境流动管理指引》，明确数据分类分级标准、出境条件、安全评估流程等内容，为企业提供清晰的操作指南。二是优化安全评估机制，建立针对特定领域的数据分析评估模型，简化低风险数据跨境流动的安全评估流程，推行 “告知承诺制 + 备案管理”；对高风险数据，建立联合评估机制，由网信、数据管理、行业主管等部门共同开展安全评估，确保数据安全。三是建立容错纠错机制，参照 “游戏出海” 试点经验，对在油气服务、农业领域数据跨境流动试点中出现的探索性失误，符合容错条件的予以容错免责，鼓励企业大胆创新。</w:t>
      </w:r>
    </w:p>
    <w:p w14:paraId="26A57BC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与省级部门沟通对接，争取将澄迈油气服务、农业领域的数据跨境流动试点纳入全省试点范围，享受省级层面的制度保障和政策支持。推动相关领域数据跨境流动规则纳入海南自贸港数据安全有序流动顶层设计，提升试点的权威性和影响力。</w:t>
      </w:r>
    </w:p>
    <w:p w14:paraId="11172BB7">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49" w:name="_Toc2430"/>
      <w:r>
        <w:rPr>
          <w:rFonts w:hint="eastAsia" w:ascii="仿宋_GB2312" w:hAnsi="仿宋_GB2312" w:eastAsia="仿宋_GB2312" w:cs="仿宋_GB2312"/>
          <w:sz w:val="28"/>
          <w:szCs w:val="28"/>
        </w:rPr>
        <w:t>3. 搭建专项服务平台，强化试点延伸支撑</w:t>
      </w:r>
      <w:bookmarkEnd w:id="49"/>
    </w:p>
    <w:p w14:paraId="7551D09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搭建专业化服务平台是试点延伸的重要保障：一是升级现有平台功能，依托海南生态软件园的游戏出海公共服务平台和海南省国际数据综合服务中心，增加油气服务、农业领域数据跨境流动服务模块，提供数据合规咨询、数据出境评估、跨境数据专线受理等 “一站式” 服务。二是建设行业特色平台，联合油气服务、农业领域的龙头企业，搭建 “油气服务数据跨境流动平台”“农业数据跨境合作平台”，整合行业数据资源，提供数据存储、传输、分析、共享等服务，实现数据安全有序流动。三是完善基础设施支撑，加快推进澄迈国际通信基础设施建设，对接海口国际通信业务出入口局和国际海缆，提升数据跨境传输的速度和安全性；支持建设油气服务、农业领域专用数据中心，满足行业数据存储和处理需求。</w:t>
      </w:r>
    </w:p>
    <w:p w14:paraId="616767F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与海南省数据跨境服务中心、海南省国际数据综合服务中心的合作，共享服务资源和技术支持，提升澄迈专项服务平台的服务能力和水平。推动平台与油气服务、农业领域的行业协会、企业联盟建立合作，扩大平台覆盖面和影响力。</w:t>
      </w:r>
    </w:p>
    <w:p w14:paraId="332AE657">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0" w:name="_Toc6596"/>
      <w:r>
        <w:rPr>
          <w:rFonts w:hint="eastAsia" w:ascii="仿宋_GB2312" w:hAnsi="仿宋_GB2312" w:eastAsia="仿宋_GB2312" w:cs="仿宋_GB2312"/>
          <w:sz w:val="28"/>
          <w:szCs w:val="28"/>
        </w:rPr>
        <w:t>4. 培育试点主体，激发市场创新活力</w:t>
      </w:r>
      <w:bookmarkEnd w:id="50"/>
    </w:p>
    <w:p w14:paraId="792E2CB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试点延伸的关键在于培育一批具备数据跨境流动能力的市场主体：一是筛选重点试点企业，在油气服务领域，选择技术实力强、国际合作经验丰富的油服企业、油气设备制造企业作为试点主体；在农业领域，优先选择 “三品一标” 认证企业、农业产业化龙头企业、跨境农业合作企业参与试点。二是开展企业培育服务，组织针对油气服务、农业领域企业的数据跨境流动政策培训、合规培训，提升企业的数据安全意识和合规操作能力；鼓励企业与数据服务提供商、科研机构合作，开展数据跨境流动技术研发和模式创新。三是加大政策扶持力度，对参与试点的企业给予研发补贴、平台使用补贴、跨境数据传输费用补贴等支持；对试点成效显著的企业，给予表彰奖励，并优先推荐享受自贸港相关优惠政策。</w:t>
      </w:r>
    </w:p>
    <w:p w14:paraId="6600965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国际合作与交流，组织试点企业参加国内外数据跨境流动相关的展会、论坛，学习先进经验；吸引国际油气服务、农业领域的数据企业和科研机构来澄迈设立分支机构，开展数据跨境合作项目，提升试点的国际化水平。</w:t>
      </w:r>
    </w:p>
    <w:p w14:paraId="6BA16CF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8BCBD2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D377BD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B5A69A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90B93B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93555D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1E8F86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8E738AA">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十一</w:t>
      </w:r>
      <w:r>
        <w:rPr>
          <w:rFonts w:hint="eastAsia" w:ascii="楷体_GB2312" w:hAnsi="楷体_GB2312" w:eastAsia="楷体_GB2312" w:cs="楷体_GB2312"/>
          <w:sz w:val="28"/>
          <w:szCs w:val="28"/>
        </w:rPr>
        <w:t>、澄迈如何引进外国领事馆、国际组织分支机构，提升国际化水平？</w:t>
      </w:r>
    </w:p>
    <w:p w14:paraId="49CAB21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70CFFAA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随着海南自贸港建设的深入推进，提升国际化水平已成为各市县的重要发展任务。外国领事馆、国际组织分支机构的设立，是衡量一个地区国际化水平的重要标志，能够带动人流、物流、资金流、信息流的集聚，促进贸易投资便利化、人文交流常态化。澄迈作为海南自贸港重点园区所在地，拥有海南生态软件园、老城经济开发区等产业平台，具备一定的产业基础和政策优势，但目前尚未有外国领事馆或国际组织分支机构入驻，国际化水平有待提升。</w:t>
      </w:r>
    </w:p>
    <w:p w14:paraId="4524A39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在海南自贸港建设总体方案中，明确提出要 “吸引境外高端人才、专业人才和技能型人才”“打造国际旅游消费中心”，这为澄迈引进外国领事馆、国际组织分支机构提供了政策导向和发展机遇。澄迈依托自身产业优势，重点围绕数字经济、油气服务、现代农业等领域，引进相关国家的领事馆和国际组织分支机构，既能服务本地产业国际化发展，又能提升澄迈在区域合作中的地位和影响力。基于此，需围绕 “基础建设、产业对接、政策创新、合作拓展” 四大维度，细化澄迈引进外国领事馆、国际组织分支机构的具体路径。</w:t>
      </w:r>
    </w:p>
    <w:p w14:paraId="3493C22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1D6FFE81">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1" w:name="_Toc19923"/>
      <w:r>
        <w:rPr>
          <w:rFonts w:hint="eastAsia" w:ascii="仿宋_GB2312" w:hAnsi="仿宋_GB2312" w:eastAsia="仿宋_GB2312" w:cs="仿宋_GB2312"/>
          <w:sz w:val="28"/>
          <w:szCs w:val="28"/>
        </w:rPr>
        <w:t>1. 完善基础设施，打造国际化承载环境</w:t>
      </w:r>
      <w:bookmarkEnd w:id="51"/>
    </w:p>
    <w:p w14:paraId="3BDCFAD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良好的基础设施和承载环境是吸引领事馆和国际组织入驻的前提：一是规划建设国际交流园区，在澄迈老城经济开发区或海南生态软件园周边，规划建设集办公、居住、商务、休闲于一体的国际交流园区，配套建设符合国际标准的办公楼宇、外交公寓、国际学校、国际医院、涉外商业设施等，为领事馆和国际组织分支机构提供完善的办公和生活配套。二是提升城市国际化水平，加强城市道路、供水、供电、通信等基础设施建设，优化城市环境，推进城市绿化、美化、亮化工程；规范城市外语标识，在机场、车站、酒店、景区等重点场所设置多语种标识和服务指南，提升涉外服务能力。三是完善涉外政务服务，在政务服务中心设立涉外服务窗口，提供英语等多语种服务，简化外籍人士和境外机构的注册登记、审批备案等流程；加强出入境管理服务，为外籍人士提供便捷的签证、居留许可办理服务。</w:t>
      </w:r>
    </w:p>
    <w:p w14:paraId="7974F1E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同时，加强与海口的协同，共享海口的国际学校、国际医院、涉外酒店等优质资源，弥补自身国际化配套不足的短板，形成 “海口核心服务 + 澄迈产业支撑” 的涉外服务格局。</w:t>
      </w:r>
    </w:p>
    <w:p w14:paraId="477F205B">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2" w:name="_Toc12793"/>
      <w:r>
        <w:rPr>
          <w:rFonts w:hint="eastAsia" w:ascii="仿宋_GB2312" w:hAnsi="仿宋_GB2312" w:eastAsia="仿宋_GB2312" w:cs="仿宋_GB2312"/>
          <w:sz w:val="28"/>
          <w:szCs w:val="28"/>
        </w:rPr>
        <w:t>2. 依托产业优势，精准对接合作需求</w:t>
      </w:r>
      <w:bookmarkEnd w:id="52"/>
    </w:p>
    <w:p w14:paraId="482E63B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结合澄迈产业基础，精准定位引进目标，实现产业对接与国际合作双赢：一是围绕数字经济产业，重点对接东南亚、“一带一路” 沿线国家，吸引其设立领事馆或商务代表处，推动澄迈生态软件园的数字服务、游戏出海等产业与相关国家开展深度合作。邀请相关国家的数字经济领域国际组织分支机构入驻，搭建产业国际交流合作平台。二是围绕油气服务产业，对接中东、东南亚等油气资源丰富的国家，吸引其设立领事馆或能源合作代表处，促进澄迈油服企业与相关国家的油气公司开展项目合作、技术交流。争取国际油气行业组织在澄迈设立分支机构，提升澄迈在区域油气服务领域的话语权。三是围绕现代农业产业，对接东盟国家和地区，吸引其设立领事馆或农业合作代表处，推动澄迈热带农产品、农业技术与相关国家开展贸易合作和技术交流。争取国际农业组织在澄迈设立试点基地或分支机构，开展农业技术研发、推广和培训合作。</w:t>
      </w:r>
    </w:p>
    <w:p w14:paraId="5552A01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同时，建立引进目标数据库，梳理与澄迈产业有密切合作的国家和相关国际组织，分析其设立领事馆或分支机构的需求和条件，制定针对性的引进方案，实行 “一对一” 精准对接。</w:t>
      </w:r>
    </w:p>
    <w:p w14:paraId="38435F85">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3" w:name="_Toc14269"/>
      <w:r>
        <w:rPr>
          <w:rFonts w:hint="eastAsia" w:ascii="仿宋_GB2312" w:hAnsi="仿宋_GB2312" w:eastAsia="仿宋_GB2312" w:cs="仿宋_GB2312"/>
          <w:sz w:val="28"/>
          <w:szCs w:val="28"/>
        </w:rPr>
        <w:t>3. 创新政策支持，增强引进吸引力</w:t>
      </w:r>
      <w:bookmarkEnd w:id="53"/>
    </w:p>
    <w:p w14:paraId="74C89D3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制定具有竞争力的政策体系，为领事馆和国际组织分支机构入驻提供支持：一是提供办公和生活补贴，对入驻的外国领事馆、国际组织分支机构，给予一定期限的办公场所租金补贴、物业管理补贴；为其工作人员提供住房补贴、子女教育补贴、医疗保障补贴等，解决后顾之忧。二是给予通关和税收便利，为领事馆和国际组织分支机构的人员、物资出入境提供便捷通关服务；对符合条件的国际组织分支机构，享受海南自贸港相关税收优惠政策。三是提供产业合作支持，对入驻机构引荐的国际合作项目、投资项目，给予引荐奖励；支持入驻机构参与澄迈的产业规划、国际展会、招商推介等活动，为其开展业务提供便利。</w:t>
      </w:r>
    </w:p>
    <w:p w14:paraId="02A09EB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争取省级政策支持，向省政府申请将澄迈纳入全省领事馆区规划备选区域，享受省级层面的政策倾斜和资源支持；争取国家相关部委支持，简化外国领事馆和国际组织分支机构入驻的审批流程，缩短审批时限。</w:t>
      </w:r>
    </w:p>
    <w:p w14:paraId="295BD792">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4" w:name="_Toc13882"/>
      <w:r>
        <w:rPr>
          <w:rFonts w:hint="eastAsia" w:ascii="仿宋_GB2312" w:hAnsi="仿宋_GB2312" w:eastAsia="仿宋_GB2312" w:cs="仿宋_GB2312"/>
          <w:sz w:val="28"/>
          <w:szCs w:val="28"/>
        </w:rPr>
        <w:t>4. 拓展合作渠道，搭建交流桥梁</w:t>
      </w:r>
      <w:bookmarkEnd w:id="54"/>
    </w:p>
    <w:p w14:paraId="3FBF3C4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多渠道拓展与外国政府和国际组织的合作，为引进工作创造条件：一是加强政府间交流，组织澄迈政府代表团出访相关国家和地区，与当地政府、外交部门开展友好交往，表达邀请设立领事馆的意愿；邀请相关国家驻华使领馆官员、国际组织代表来澄迈考察访问，实地了解澄迈的产业基础、投资环境和承载能力。二是依托海南自贸港平台，积极参与中国国际进口博览会、中国 — 东盟博览会、博鳌亚洲论坛等重大国际展会和论坛活动，在活动中设立澄迈展区，宣传澄迈的产业优势和国际化发展机遇，与外国政府代表、国际组织官员开展面对面交流。三是发挥企业和商会桥梁作用，鼓励澄迈本土龙头企业与境外企业开展深度合作，通过企业间合作推动政府间交流；支持行业协会、商会与国际相关组织建立合作关系，搭建民间交流桥梁，为引进领事馆和国际组织分支机构牵线搭桥。</w:t>
      </w:r>
    </w:p>
    <w:p w14:paraId="4BDED75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同时，加强与海口、三亚等已有涉外机构布局的市县合作，共享其涉外资源和交流渠道，借助其平台优势开展引进工作，形成全省协同引进的良好格局。</w:t>
      </w:r>
    </w:p>
    <w:p w14:paraId="0BEDF05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E1896B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EA28CD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51DA2D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032F9E2">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十二</w:t>
      </w:r>
      <w:r>
        <w:rPr>
          <w:rFonts w:hint="eastAsia" w:ascii="楷体_GB2312" w:hAnsi="楷体_GB2312" w:eastAsia="楷体_GB2312" w:cs="楷体_GB2312"/>
          <w:sz w:val="28"/>
          <w:szCs w:val="28"/>
        </w:rPr>
        <w:t>、海口三甲医院资源如何更高效向澄迈辐射，完善分级诊疗体系？</w:t>
      </w:r>
    </w:p>
    <w:p w14:paraId="1A61F8C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3DD3098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澄迈作为海口经济圈重要组成部分，与海口地缘相近、人员往来密切，但优质医疗资源供给不足的问题突出。目前澄迈县域内三级医院数量为 0，仅有县级医院、乡镇卫生院等基础医疗机构，疑难重症患者需大量前往海口三甲医院就诊，导致跨区域就医拥堵、医疗成本上升，且县域医疗机构服务能力薄弱，难以承接海口三甲医院下转的康复期患者，分级诊疗体系未能有效落地。</w:t>
      </w:r>
    </w:p>
    <w:p w14:paraId="0BDD71D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口现有海南省人民医院、海南医学院第一附属医院等多家三甲医院，具备丰富的医疗技术、人才和设备资源，但受限于地域壁垒、协作机制缺失等因素，优质医疗资源向澄迈的辐射范围和效率有限，未能充分发挥对周边县域医疗的带动作用。随着海口经济圈一体化进程加快，澄迈居民对优质医疗资源的需求持续增长，如何打破资源流动障碍、构建高效协同的医疗辐射机制，成为完善区域分级诊疗体系、提升居民医疗获得感的关键。</w:t>
      </w:r>
    </w:p>
    <w:p w14:paraId="1ED4892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5F1DC9E9">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5" w:name="_Toc22545"/>
      <w:r>
        <w:rPr>
          <w:rFonts w:hint="eastAsia" w:ascii="仿宋_GB2312" w:hAnsi="仿宋_GB2312" w:eastAsia="仿宋_GB2312" w:cs="仿宋_GB2312"/>
          <w:sz w:val="28"/>
          <w:szCs w:val="28"/>
        </w:rPr>
        <w:t>1. 构建多元化跨区域医疗协作机制</w:t>
      </w:r>
      <w:bookmarkEnd w:id="55"/>
    </w:p>
    <w:p w14:paraId="6E6F250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建立紧密型医联体核心纽带，推动海口三甲医院与澄迈县人民医院、县中医医院等龙头医疗机构组建紧密型医联体，实行 “人员派驻、技术共享、管理同步” 模式。海口三甲医院定期派遣内科、外科、妇产科等重点科室骨干医师到澄迈驻点坐诊、查房带教，每月驻点时间不少于 7 天；开通医联体内部转诊绿色通道，澄迈转诊患者可优先享受海口三甲医院门诊预约、住院床位预留、检查检验优先安排等服务，转诊流程压缩至 24 小时内。</w:t>
      </w:r>
    </w:p>
    <w:p w14:paraId="15A3F63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拓展专科联盟协作网络，针对澄迈高发疾病和薄弱专科，由海口三甲医院牵头组建心血管、糖尿病、骨科、儿科等专科联盟。通过远程会诊、病例讨论、手术指导等方式，为澄迈医疗机构提供常态化技术支持；建立专科人才联合培养机制，澄迈医护人员可免费参与海口三甲医院的学术讲座、技能培训和进修学习，每年培养名额不少于 50 人，重点提升县域医疗机构常见病、多发病的诊疗能力。</w:t>
      </w:r>
    </w:p>
    <w:p w14:paraId="5FADC16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推行检查检验结果互认与资源共享，依托海南自贸港医疗健康大数据平台，打通海口与澄迈医疗数据壁垒，实现血常规、影像学检查等 30 类常见检查检验结果跨机构互认，避免重复检查。建立大型医疗设备共享机制，澄迈患者需进行 CT、核磁共振等特殊检查时，可通过医联体预约海口三甲医院设备资源，由澄迈医疗机构统一对接，减少患者自行往返奔波。</w:t>
      </w:r>
    </w:p>
    <w:p w14:paraId="6E399902">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6" w:name="_Toc29845"/>
      <w:r>
        <w:rPr>
          <w:rFonts w:hint="eastAsia" w:ascii="仿宋_GB2312" w:hAnsi="仿宋_GB2312" w:eastAsia="仿宋_GB2312" w:cs="仿宋_GB2312"/>
          <w:sz w:val="28"/>
          <w:szCs w:val="28"/>
        </w:rPr>
        <w:t>2. 完善县域医疗服务承接能力</w:t>
      </w:r>
      <w:bookmarkEnd w:id="56"/>
    </w:p>
    <w:p w14:paraId="4D8AFF2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强化澄迈县域医疗机构基础设施升级，争取省级财政专项资金，支持澄迈县人民医院、县中医医院重点建设急诊科、重症医学科、康复医学科等核心科室，添置必要的诊疗设备和急救设施，提升对常见病、多发病的诊疗能力和急危重症的初步救治能力，使其具备承接海口三甲医院下转康复期患者和轻症患者的硬件条件。</w:t>
      </w:r>
    </w:p>
    <w:p w14:paraId="52BFF0B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搭建远程医疗服务平台，在澄迈县人民医院设立远程医疗中心，与海口三甲医院实现远程会诊、远程影像诊断、远程心电监护等服务全覆盖。乡镇卫生院、社区卫生服务中心同步接入该平台，基层医务人员可直接对接海口三甲医院专家，为患者提供实时诊疗指导，让澄迈居民在县域内即可享受优质医疗咨询服务，减少跨区域就医需求。</w:t>
      </w:r>
    </w:p>
    <w:p w14:paraId="4277DDA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培育本土化医疗人才队伍，实施 “人才双向交流计划”，一方面邀请海口三甲医院专家定期到澄迈开展临床带教、技术培训，另一方面选拔澄迈优秀医护人员到海口三甲医院进修深造，进修期间薪酬待遇保持不变，进修成果纳入职称评定考核指标。建立海口三甲医院专家与澄迈医务人员 “一对一” 帮扶机制，重点培养县域医疗骨干，提升本土医疗服务的可持续能力。</w:t>
      </w:r>
    </w:p>
    <w:p w14:paraId="47C02CAD">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7" w:name="_Toc19237"/>
      <w:r>
        <w:rPr>
          <w:rFonts w:hint="eastAsia" w:ascii="仿宋_GB2312" w:hAnsi="仿宋_GB2312" w:eastAsia="仿宋_GB2312" w:cs="仿宋_GB2312"/>
          <w:sz w:val="28"/>
          <w:szCs w:val="28"/>
        </w:rPr>
        <w:t>3. 优化跨区域医疗流通保障体系</w:t>
      </w:r>
      <w:bookmarkEnd w:id="57"/>
    </w:p>
    <w:p w14:paraId="7D81AA3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完善交通通勤配套，加密澄迈与海口之间的医疗专线班车，重点覆盖澄迈金江、老城等人口密集区域与海口三甲医院之间的线路，每天发车频次不少于 8 班，缩短跨区域就医通勤时间；协调海口公交集团开通 “医疗通勤专线”，实行优惠票价，方便澄迈患者往返就医。</w:t>
      </w:r>
    </w:p>
    <w:p w14:paraId="4E67E95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推行医保结算一体化，简化澄迈患者在海口三甲医院的异地就医备案流程，实现 “线上自助备案 + 线下窗口快速办理” 双渠道，备案材料精简至 2 项，办理时间压缩至 1 个工作日。扩大异地就医直接结算覆盖范围，将海口三甲医院所有门诊和住院费用纳入直接结算体系，取消起付线差异、降低报销比例梯度，让澄迈患者跨区域就医与海口本地患者享受同等医保待遇，减轻医疗费用负担。</w:t>
      </w:r>
    </w:p>
    <w:p w14:paraId="64A80DF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建立医疗协作激励机制，由省、市县两级财政设立医疗资源辐射专项奖励资金，对海口三甲医院的派驻医师给予每人每天 200 元的驻点补贴，对接收澄迈进修人员的科室给予每人大 5000 元的培训补贴；对澄迈县医疗机构，根据下转患者承接数量、远程医疗服务使用率等指标给予考核奖励，每成功承接 1 名海口三甲医院下转患者奖励 1000 元，激发双方协作积极性。</w:t>
      </w:r>
    </w:p>
    <w:p w14:paraId="2CC5965C">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8" w:name="_Toc27793"/>
      <w:r>
        <w:rPr>
          <w:rFonts w:hint="eastAsia" w:ascii="仿宋_GB2312" w:hAnsi="仿宋_GB2312" w:eastAsia="仿宋_GB2312" w:cs="仿宋_GB2312"/>
          <w:sz w:val="28"/>
          <w:szCs w:val="28"/>
        </w:rPr>
        <w:t>4. 强化基层医疗服务网络支撑</w:t>
      </w:r>
      <w:bookmarkEnd w:id="58"/>
    </w:p>
    <w:p w14:paraId="458E9C9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推进澄迈基层医疗机构标准化建设，按照 “有场地、有人员、有设备、有制度” 的标准，改造升级乡镇卫生院和社区卫生服务中心，重点完善全科门诊、预防保健、康复护理等功能，每个乡镇卫生院至少配备 2 名全科医生和 1 套基础检查设备（如 B 超、血常规分析仪等），提升基层首诊能力。</w:t>
      </w:r>
    </w:p>
    <w:p w14:paraId="12323A8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建立家庭医生签约协同机制，由海口三甲医院专科医生与澄迈基层家庭医生组建 “专科 + 全科” 签约服务团队，为澄迈居民提供全生命周期健康管理服务。家庭医生负责日常健康监测、常见病诊疗和健康指导，遇到疑难问题可直接对接海口专科医生，实现 “小病不出村、常见病不出镇、大病直通车” 的分级诊疗格局，签约服务覆盖率在老年人、慢性病患者等重点人群中达到 90% 以上。</w:t>
      </w:r>
    </w:p>
    <w:p w14:paraId="7AE4937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开展健康管理与疾病预防联动服务，海口三甲医院联合澄迈基层医疗机构开展常态化健康体检和疾病筛查活动，每年深入澄迈乡镇、社区开展免费体检不少于 12 场次，重点筛查高血压、糖尿病、肺癌等高发疾病；建立健康档案共享机制，澄迈居民的健康数据同步至海口三甲医院信息系统，方便跨区域就医时医生快速掌握患者健康状况，实现疾病的早发现、早诊断、早治疗。</w:t>
      </w:r>
    </w:p>
    <w:p w14:paraId="1962B63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033DEE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6FE4A7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C8DEEE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8EBBCD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5B48B4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楷体_GB2312" w:hAnsi="楷体_GB2312" w:eastAsia="楷体_GB2312" w:cs="楷体_GB2312"/>
          <w:sz w:val="28"/>
          <w:szCs w:val="28"/>
          <w:lang w:val="en-US" w:eastAsia="zh-CN"/>
        </w:rPr>
        <w:t>十三</w:t>
      </w:r>
      <w:r>
        <w:rPr>
          <w:rFonts w:hint="eastAsia" w:ascii="楷体_GB2312" w:hAnsi="楷体_GB2312" w:eastAsia="楷体_GB2312" w:cs="楷体_GB2312"/>
          <w:sz w:val="28"/>
          <w:szCs w:val="28"/>
        </w:rPr>
        <w:t>、澄迈如何整合福山咖啡、桥头地瓜等资源，融入海口经济圈精品旅游线路？</w:t>
      </w:r>
    </w:p>
    <w:p w14:paraId="01FE244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763DD67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拥有福山咖啡、桥头地瓜、瑞溪牛肉干等一批具有地域特色的农产品资源，其中福山咖啡是国家地理标志产品，种植历史悠久，已形成集种植、加工、品鉴于一体的产业基础；桥头地瓜以口感粉糯、营养丰富著称，远销省内外，具备较强的市场认可度。但目前这些特色资源的旅游转化能力较弱，主要以农产品销售为主，缺乏旅游体验、文化赋能等延伸业态，且资源分散布局，未形成规模化、一体化的旅游产品体系。</w:t>
      </w:r>
    </w:p>
    <w:p w14:paraId="2D3775B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海口作为海南旅游集散中心，拥有丰富的旅游线路资源和庞大的游客流量，但现有精品旅游线路多集中于海口市区及周边景区，对澄迈特色农产品资源的整合不足，未能形成 “旅游 + 农业” 的联动效应。随着海口经济圈旅游一体化发展，游客对深度体验、乡村休闲、美食文化等旅游产品的需求日益增长，澄迈如何将特色农产品资源与旅游产业深度融合，通过线路整合、业态创新、品牌联动等方式融入海口经济圈旅游网络，成为拓宽农产品销售渠道、提升区域旅游竞争力的重要路径。</w:t>
      </w:r>
    </w:p>
    <w:p w14:paraId="3502EAE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4C21DC89">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59" w:name="_Toc23718"/>
      <w:r>
        <w:rPr>
          <w:rFonts w:hint="eastAsia" w:ascii="仿宋_GB2312" w:hAnsi="仿宋_GB2312" w:eastAsia="仿宋_GB2312" w:cs="仿宋_GB2312"/>
          <w:sz w:val="28"/>
          <w:szCs w:val="28"/>
        </w:rPr>
        <w:t>1. 打造 “农业 + 旅游” 融合业态集群</w:t>
      </w:r>
      <w:bookmarkEnd w:id="59"/>
    </w:p>
    <w:p w14:paraId="38EF016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建设特色农业旅游园区，以福山咖啡文化风情镇为核心，升级改造咖啡种植园、加工厂，增设咖啡采摘体验、手工烘焙教学、咖啡品鉴会等互动项目，打造集 “种植 - 加工 - 体验 - 销售” 于一体的咖啡主题旅游园区；在桥头镇建设地瓜田园综合体，开辟观光采摘园、地瓜科普馆，推出地瓜种植体验、田园骑行、亲子农事活动等业态，让游客深度感受农产品种植过程。</w:t>
      </w:r>
    </w:p>
    <w:p w14:paraId="5381089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开发乡村美食旅游节点，整合瑞溪牛肉干、白莲鹅、老城海鲜等特色美食资源，在福山咖啡风情镇、桥头地瓜田园综合体周边打造美食街区，集聚本地特色餐饮商户，推出 “咖啡下午茶 + 地瓜宴 + 海鲜晚餐” 的特色美食套餐；培育一批乡村民宿、农家乐，提供农事体验、农产品加工、民俗文化展示等服务，形成 “吃住行游购娱” 一体化的乡村旅游配套体系。</w:t>
      </w:r>
    </w:p>
    <w:p w14:paraId="55F9F69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农业文化体验线路，深入挖掘福山咖啡、桥头地瓜背后的历史文化和民俗故事，打造文化体验节点。例如，在福山咖啡风情镇建设咖啡博物馆，展示咖啡种植历史、加工工艺和文化传承；在桥头镇举办地瓜文化节，开展地瓜种植比赛、美食烹饪大赛、民俗表演等活动，每年举办不少于 2 场大型主题活动，增强旅游吸引力。</w:t>
      </w:r>
    </w:p>
    <w:p w14:paraId="634D43C9">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0" w:name="_Toc1102"/>
      <w:r>
        <w:rPr>
          <w:rFonts w:hint="eastAsia" w:ascii="仿宋_GB2312" w:hAnsi="仿宋_GB2312" w:eastAsia="仿宋_GB2312" w:cs="仿宋_GB2312"/>
          <w:sz w:val="28"/>
          <w:szCs w:val="28"/>
        </w:rPr>
        <w:t>2. 深化与海口旅游线路的一体化整合</w:t>
      </w:r>
      <w:bookmarkEnd w:id="60"/>
    </w:p>
    <w:p w14:paraId="66D4532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融入海口乡村休闲旅游线路，与海口旅游企业、旅行社合作，将澄迈特色农业旅游园区纳入海口乡村休闲旅游线路体系。推出 “海口市区 - 澄迈福山咖啡风情镇 - 桥头地瓜田园综合体 - 瑞溪古镇” 一日游、两日游线路，串联海口骑楼老街等核心景区与澄迈特色节点，实现客源共享。海口旅行社在门店、线上平台重点推广该线路，给予线路推广补贴，每条线路年发车不少于 100 班次。</w:t>
      </w:r>
    </w:p>
    <w:p w14:paraId="62BCF8C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接海口会展与商务旅游市场，针对海口举办的各类展会、商务会议等活动，推出澄迈农业旅游半日游配套线路，为参会人员提供休闲体验选项。与海口高端酒店、会展中心建立合作，将澄迈特色农产品（如精品咖啡、礼盒装地瓜干）作为会议伴手礼，在酒店设置澄迈旅游咨询点，推介特色旅游产品。</w:t>
      </w:r>
    </w:p>
    <w:p w14:paraId="363CC1D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联动海口研学旅游资源，针对海口中小学、高校及亲子游客群体，开发 “农业科普 + 劳动实践” 研学旅游线路。整合澄迈农产品种植基地、加工企业等资源，设置农业科普课程、农事劳动体验、农产品加工实践等研学项目，与海口研学机构签订长期合作协议，年接待研学团队不少于 50 个，提升年轻群体对澄迈特色资源的认知度。</w:t>
      </w:r>
    </w:p>
    <w:p w14:paraId="55BE0A2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1" w:name="_Toc1746"/>
      <w:r>
        <w:rPr>
          <w:rFonts w:hint="eastAsia" w:ascii="仿宋_GB2312" w:hAnsi="仿宋_GB2312" w:eastAsia="仿宋_GB2312" w:cs="仿宋_GB2312"/>
          <w:sz w:val="28"/>
          <w:szCs w:val="28"/>
        </w:rPr>
        <w:t>3. 强化品牌塑造与市场推广联动</w:t>
      </w:r>
      <w:bookmarkEnd w:id="61"/>
    </w:p>
    <w:p w14:paraId="7B939C7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统一区域公共品牌形象，整合 “福山咖啡”“桥头地瓜” 等现有品牌资源，打造 “澄迈农旅” 区域公共品牌，设计统一的品牌标识、包装形象和宣传口号，提升品牌辨识度。依托海南自贸港品牌推广平台，联合海口开展品牌共建活动，在海口美兰机场、海口东站等交通枢纽设置澄迈农旅品牌展示区，投放宣传广告。</w:t>
      </w:r>
    </w:p>
    <w:p w14:paraId="37329AD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拓展线上线下销售渠道，线上依托天猫、京东等电商平台，开设澄迈农旅官方旗舰店，整合特色农产品、旅游产品套餐（如 “旅游 + 农产品” 礼盒）进行销售；线下在海口大型商超、农贸市场设立澄迈特色农产品专柜，在海口热门景区设置旅游商品专卖店，实现 “旅游体验 + 产品购买” 的消费闭环。</w:t>
      </w:r>
    </w:p>
    <w:p w14:paraId="2E16FEB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举办跨区域推广活动，联合海口共同举办农旅融合发展论坛、特色农产品展销会等活动，每年至少联合举办 1 场大型推广活动；组织澄迈特色农旅企业参与海口国际旅游岛欢乐节、海南农产品交易会等大型活动，借助海口的平台资源扩大澄迈农旅品牌影响力。邀请国内外旅游达人、媒体记者开展 “海口 - 澄迈” 农旅体验采风活动，通过短视频、图文等形式在社交媒体传播，提升线路知名度。</w:t>
      </w:r>
    </w:p>
    <w:p w14:paraId="5E1B0A7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2" w:name="_Toc12097"/>
      <w:r>
        <w:rPr>
          <w:rFonts w:hint="eastAsia" w:ascii="仿宋_GB2312" w:hAnsi="仿宋_GB2312" w:eastAsia="仿宋_GB2312" w:cs="仿宋_GB2312"/>
          <w:sz w:val="28"/>
          <w:szCs w:val="28"/>
        </w:rPr>
        <w:t>4. 完善旅游基础设施与服务保障</w:t>
      </w:r>
      <w:bookmarkEnd w:id="62"/>
    </w:p>
    <w:p w14:paraId="6A0B074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优化交通互联互通，升级改造澄迈福山、桥头等核心旅游节点与海口之间的连接道路，提升道路通行能力；加密澄迈与海口之间的公共交通班次，开通 “海口 - 福山咖啡风情镇 - 桥头地瓜田园综合体” 旅游专线公交，每天发车频次不少于 6 班，方便游客往返。</w:t>
      </w:r>
    </w:p>
    <w:p w14:paraId="693B725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升旅游服务标准化水平，制定澄迈农业旅游服务规范，对景区讲解员、民宿服务人员、餐饮商户等进行专业培训，重点提升服务礼仪、产品讲解、应急处置等能力；在核心旅游节点设立游客服务中心，提供咨询引导、票务预订、行李寄存等一站式服务，配备多语种宣传资料和导览设备。</w:t>
      </w:r>
    </w:p>
    <w:p w14:paraId="0D84280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强化生态环境保障，加强旅游线路沿线的生态环境保护，整治村容村貌，推进垃圾分类、污水治理等环境提升工程；在农业旅游园区推行生态种植模式，减少农药化肥使用，打造绿色、生态的旅游环境，增强游客体验舒适度。</w:t>
      </w:r>
    </w:p>
    <w:p w14:paraId="154D17A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8290B2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2645F3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BB2EBC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3A9D58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DFF916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560A6BF">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63" w:name="_Toc4275"/>
      <w:r>
        <w:rPr>
          <w:rFonts w:hint="eastAsia" w:ascii="楷体_GB2312" w:hAnsi="楷体_GB2312" w:eastAsia="楷体_GB2312" w:cs="楷体_GB2312"/>
          <w:sz w:val="28"/>
          <w:szCs w:val="28"/>
          <w:lang w:val="en-US" w:eastAsia="zh-CN"/>
        </w:rPr>
        <w:t>十四</w:t>
      </w:r>
      <w:r>
        <w:rPr>
          <w:rFonts w:hint="eastAsia" w:ascii="楷体_GB2312" w:hAnsi="楷体_GB2312" w:eastAsia="楷体_GB2312" w:cs="楷体_GB2312"/>
          <w:sz w:val="28"/>
          <w:szCs w:val="28"/>
        </w:rPr>
        <w:t>、澄迈工业用地地均税收如何进一步提升至全国平均水平？</w:t>
      </w:r>
      <w:bookmarkEnd w:id="63"/>
    </w:p>
    <w:p w14:paraId="3A6B68E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21CE7F7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作为海南自贸港重点产业园区聚集地，拥有老城经济开发区等重要工业载体，工业用地规模稳步扩大，工业已成为县域经济的重要支柱。但目前澄迈工业用地地均税收仍低于全国平均水平，根据相关统计数据，2024 年全国工业用地地均税收约为 35 万元 / 亩，而澄迈工业用地地均税收仅约 22 万元 / 亩，存在较大提升空间。</w:t>
      </w:r>
    </w:p>
    <w:p w14:paraId="4C9EA0E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导致这一差距的核心原因包括：产业结构有待优化，澄迈工业以油气化工、建材制造等传统产业为主，高新技术产业占比低，产业附加值不高；部分工业项目投资强度不足，存在 “圈地不用、低效占用” 现象，部分地块投资强度未达到出让合同约定标准；产业配套不完善，产业链条短，缺乏上下游协同，难以形成集群效应；园区管理服务水平有待提升，要素保障、政策支持等未能充分匹配企业发展需求。</w:t>
      </w:r>
    </w:p>
    <w:p w14:paraId="513D3A4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随着海南自贸港封关运作临近，澄迈工业面临转型升级的迫切需求，提升工业用地地均税收不仅是提高土地利用效率、增强工业经济质量效益的关键，更是推动澄迈在海口经济圈中发挥产业支撑作用、实现高质量发展的重要举措。</w:t>
      </w:r>
    </w:p>
    <w:p w14:paraId="557778A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3DD2D1D0">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4" w:name="_Toc23565"/>
      <w:r>
        <w:rPr>
          <w:rFonts w:hint="eastAsia" w:ascii="仿宋_GB2312" w:hAnsi="仿宋_GB2312" w:eastAsia="仿宋_GB2312" w:cs="仿宋_GB2312"/>
          <w:sz w:val="28"/>
          <w:szCs w:val="28"/>
        </w:rPr>
        <w:t>1. 优化产业结构，提升产业附加值</w:t>
      </w:r>
      <w:bookmarkEnd w:id="64"/>
    </w:p>
    <w:p w14:paraId="1A91EF6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聚焦高新技术产业招商引资，围绕数字经济、油气服务、高端装备制造、新材料等高附加值产业，制定专项招商目录和激励政策。对高新技术企业入驻给予土地出让金优惠（最高减免 30%）、设备投资补贴（按投资额的 10% 给予补贴，最高 5000 万元）等支持；设立高新技术产业发展专项资金，每年安排不少于 2 亿元，用于支持企业研发创新、技术改造和市场拓展。重点引进与海南生态软件园数字经济产业、老城经济开发区油气化工产业相关的上下游高新技术企业，形成产业集群，提升单位用地的产出效益。</w:t>
      </w:r>
    </w:p>
    <w:p w14:paraId="4822EDD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推动传统产业转型升级，针对澄迈现有油气化工、建材制造等传统产业，实施技术改造升级计划。鼓励企业引进先进生产设备、采用绿色生产工艺，对技改项目按实际投资额的 15% 给予补贴，最高 3000 万元；支持企业开展产学研合作，与高校、科研机构共建研发中心，攻克关键技术难题，提升产品附加值。例如，推动油气化工企业向精细化工、化工新材料方向延伸，建材企业向绿色建材、新型建材转型，提高单位产值的税收贡献。</w:t>
      </w:r>
    </w:p>
    <w:p w14:paraId="2D7735F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严格产业准入标准，制定工业用地投资强度和税收强度双标准，明确新引进工业项目投资强度不低于 300 万元 / 亩，投产后前三年平均地均税收不低于 35 万元 / 亩，未达到标准的企业按比例退还土地出让金优惠或补贴资金。对高耗能、高污染、低附加值的项目坚决不予引进，从源头保障工业用地的高效利用。</w:t>
      </w:r>
    </w:p>
    <w:p w14:paraId="23F03E7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5" w:name="_Toc27417"/>
      <w:r>
        <w:rPr>
          <w:rFonts w:hint="eastAsia" w:ascii="仿宋_GB2312" w:hAnsi="仿宋_GB2312" w:eastAsia="仿宋_GB2312" w:cs="仿宋_GB2312"/>
          <w:sz w:val="28"/>
          <w:szCs w:val="28"/>
        </w:rPr>
        <w:t>2. 盘活低效工业用地，提高土地利用效率</w:t>
      </w:r>
      <w:bookmarkEnd w:id="65"/>
    </w:p>
    <w:p w14:paraId="6D6DE7C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展低效工业用地清理整治，全面排查澄迈工业园区内的闲置土地、低效用地，建立台账分类处置。对超过出让合同约定动工期限未动工、且无正当理由的闲置土地，按规定征收土地闲置费；闲置满两年的，依法无偿收回土地使用权。对投资强度、地均税收未达到约定标准的低效用地企业，责令限期整改，整改期限不超过 1 年；整改后仍未达标的，通过协议收回、置换、股权转让等方式盘活土地，重新引入高效益项目。</w:t>
      </w:r>
    </w:p>
    <w:p w14:paraId="4AC2727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推行工业用地弹性出让与退出机制，实行 “长期租赁、先租后让、弹性年期出让” 等多元化供地方式，根据企业生命周期和产业特点，灵活确定出让年限（20 年、30 年、50 年），降低企业初始用地成本。建立工业用地退出机制，企业经营期满或因自身原因退出的，土地按约定条件收回或转让给符合产业导向的企业，确保土地资源循环利用。</w:t>
      </w:r>
    </w:p>
    <w:p w14:paraId="17B431C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鼓励低效用地企业转型升级或合作开发，对现有低效用地企业，鼓励其通过技术改造、增资扩产等方式提升用地效益，增资扩产后地均税收达到全国平均水平的，给予税收返还奖励（按新增税收地方留成部分的 50% 返还，连续奖励 3 年）；支持企业以土地使用权作价入股，与优质企业合作开发新项目，实现资源优化配置。</w:t>
      </w:r>
    </w:p>
    <w:p w14:paraId="5E7E1AA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6" w:name="_Toc27163"/>
      <w:r>
        <w:rPr>
          <w:rFonts w:hint="eastAsia" w:ascii="仿宋_GB2312" w:hAnsi="仿宋_GB2312" w:eastAsia="仿宋_GB2312" w:cs="仿宋_GB2312"/>
          <w:sz w:val="28"/>
          <w:szCs w:val="28"/>
        </w:rPr>
        <w:t>3. 完善产业链配套，强化集群效应</w:t>
      </w:r>
      <w:bookmarkEnd w:id="66"/>
    </w:p>
    <w:p w14:paraId="0A322EB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上下游协同的产业生态，围绕澄迈主导产业，重点引进产业链上下游配套企业，补全产业短板。例如，针对油气服务产业，引进油气设备维修、检测、物流等配套企业；针对数字经济产业，引进软件研发、数据服务、跨境电商等配套企业。建立产业链招商地图，明确重点招商环节，对产业链关键配套企业给予优先供地、税收优惠等支持，形成 “龙头企业带动、配套企业集聚” 的产业集群，降低企业生产成本，提高整体产业的税收贡献。</w:t>
      </w:r>
    </w:p>
    <w:p w14:paraId="1D6D31E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完善产业配套基础设施，加大工业园区基础设施投入，建设标准化厂房、物流仓储中心、研发创新平台等公共配套设施。标准化厂房按 “七通一平” 标准建设，面向中小微企业出租，租金按市场价的 70% 收取；物流仓储中心引入第三方物流企业运营，为园区企业提供高效便捷的物流服务；建设产业创新中心，配备共享实验室、中试基地等设施，为企业研发创新提供支撑，降低企业研发成本，提升创新效率。</w:t>
      </w:r>
    </w:p>
    <w:p w14:paraId="4140C04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产业协同发展机制，搭建园区企业协同合作平台，促进企业间原材料采购、产品销售、技术共享等合作。鼓励龙头企业开放供应链资源，优先采购园区内配套企业产品；组织开展企业对接会、供需洽谈会等活动，每年不少于 4 场，促进企业间合作。对企业间的协同合作项目，按合作金额的 5% 给予奖励，最高 1000 万元，激发企业协同发展积极性。</w:t>
      </w:r>
    </w:p>
    <w:p w14:paraId="03D5C3CE">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7" w:name="_Toc10839"/>
      <w:r>
        <w:rPr>
          <w:rFonts w:hint="eastAsia" w:ascii="仿宋_GB2312" w:hAnsi="仿宋_GB2312" w:eastAsia="仿宋_GB2312" w:cs="仿宋_GB2312"/>
          <w:sz w:val="28"/>
          <w:szCs w:val="28"/>
        </w:rPr>
        <w:t>4. 强化政策支持与园区服务，优化发展环境</w:t>
      </w:r>
      <w:bookmarkEnd w:id="67"/>
    </w:p>
    <w:p w14:paraId="4CD5DF5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加大财政扶持力度，设立工业用地效益提升专项基金，对地均税收达到全国平均水平且排名前列的企业，给予税收返还奖励（按年度税收地方留成部分的 30% 返还，连续奖励 3 年）；对亩均税收超 50 万元的企业，给予一次性奖励 100 万元。支持企业开展绿色制造、智能制造，对获得国家级绿色工厂、智能工厂认证的企业，分别给予 500 万元、800 万元奖励，推动企业提质增效。</w:t>
      </w:r>
    </w:p>
    <w:p w14:paraId="2BDCF29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提升园区管理服务水平，建立 “一站式” 企业服务中心，整合工商、税务、环保、审批等部门职能，为企业提供从项目落地到投产运营的全流程服务，审批时限压缩至法定时限的 50% 以内。建立企业联络员制度，每个重点企业配备 1 名专属联络员，及时解决企业在用地、用水、用电、融资等方面的问题。优化园区营商环境，降低企业生产经营成本，例如，对园区企业实行电价、水价优惠，工业用电价格按基准价的 90% 执行，工业用水价格下调 10%。</w:t>
      </w:r>
    </w:p>
    <w:p w14:paraId="15B045E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要素保障，保障工业项目用地需求，优先保障高新技术产业、产业链关键环节项目的用地指标；优化电力、燃气等能源供应，建设园区专用变电站、燃气管道，确保企业能源稳定供应。拓宽企业融资渠道，与金融机构合作设立产业发展基金，为企业提供低息贷款、融资租赁等融资服务，对企业的技术改造贷款给予利息补贴（按 LPR 的 30% 补贴，最高 500 万元），缓解企业资金压力。</w:t>
      </w:r>
    </w:p>
    <w:p w14:paraId="2293C70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73EB2A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B59CEB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CC1F61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226724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50AFB2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7FA6BD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7FDE463">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十五</w:t>
      </w:r>
      <w:r>
        <w:rPr>
          <w:rFonts w:hint="eastAsia" w:ascii="楷体_GB2312" w:hAnsi="楷体_GB2312" w:eastAsia="楷体_GB2312" w:cs="楷体_GB2312"/>
          <w:sz w:val="28"/>
          <w:szCs w:val="28"/>
        </w:rPr>
        <w:t>、浙琼合作产业园如何实现 “跨省产业链协同”，形成可复制模式？</w:t>
      </w:r>
    </w:p>
    <w:p w14:paraId="4172E61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63A2C3B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浙琼合作产业园是海南自贸港与浙江省深化省际合作的重要载体，依托海南自贸港政策优势与浙江产业、资本、人才优势，重点发展数字经济、跨境贸易、高端制造等产业。目前园区已引入部分浙江企业入驻，但仍面临跨省产业链协同不足的问题：浙江的产业优势未能充分与海南的资源、政策优势结合，上下游企业跨区域布局不紧密，存在 “单兵作战” 现象；产业链关键环节缺失，部分入驻企业的原材料采购、零部件供应、市场销售等仍依赖浙江本土，未能在海南形成本地化配套；跨省协同机制不健全，在要素流动、政策衔接、市场准入等方面存在壁垒，导致产业链协同效率低、成本高。</w:t>
      </w:r>
    </w:p>
    <w:p w14:paraId="7D1312A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随着全国区域协调发展战略深入推进，跨省产业合作成为优化产业布局、提升产业竞争力的重要路径。浙琼合作产业园作为省际合作的示范平台，如何打破地域限制，构建 “浙江研发 + 海南制造 / 贸易”“海南资源 + 浙江市场” 的跨省产业链协同模式，不仅关系到园区自身的发展质量，更能为全国跨省产业园区合作提供可复制、可推广的经验，具有重要的示范意义。</w:t>
      </w:r>
    </w:p>
    <w:p w14:paraId="1456150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4D0CA0C6">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8" w:name="_Toc11469"/>
      <w:r>
        <w:rPr>
          <w:rFonts w:hint="eastAsia" w:ascii="仿宋_GB2312" w:hAnsi="仿宋_GB2312" w:eastAsia="仿宋_GB2312" w:cs="仿宋_GB2312"/>
          <w:sz w:val="28"/>
          <w:szCs w:val="28"/>
        </w:rPr>
        <w:t>1. 构建跨区域产业链分工协作体系</w:t>
      </w:r>
      <w:bookmarkEnd w:id="68"/>
    </w:p>
    <w:p w14:paraId="2E6BB1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明确产业协同定位，依托浙江在数字经济、智能制造、跨境电商等领域的产业优势，结合海南自贸港 “零关税”“跨境资金流动便利” 等政策优势，形成 “浙江侧重研发设计、总部运营，海南侧重生产制造、跨境贸易、仓储物流” 的产业链分工格局。例如，浙江企业在本土开展核心技术研发、产品设计和品牌运营，在浙琼合作产业园设立生产基地、跨境电商分拨中心、保税仓储中心，利用海南自贸港政策降低生产和贸易成本，拓展东南亚等国际市场。</w:t>
      </w:r>
    </w:p>
    <w:p w14:paraId="0F83125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重点打造特色产业链条，聚焦数字经济、跨境贸易、高端装备制造、热带农产品加工等重点领域，打造跨省特色产业链。在数字经济领域，推动浙江软件研发企业与海南生态软件园企业合作，在产业园设立数据处理、跨境数字服务基地；在跨境贸易领域，依托浙江宁波舟山港、义乌小商品市场资源，在产业园建设跨境电商保税仓、大宗商品交易中心，实现 “浙江货源 + 海南保税 + 国际配送” 的协同模式；在热带农产品加工领域，整合海南热带农产品资源与浙江食品加工、品牌运营优势，在产业园建设农产品深加工基地，产品销往浙江及全国市场。</w:t>
      </w:r>
    </w:p>
    <w:p w14:paraId="78CB8AA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动上下游企业协同入驻，围绕核心产业链，开展产业链招商，鼓励浙江的龙头企业带动其上下游配套企业一同入驻浙琼合作产业园。对龙头企业引进的配套企业，给予土地出让金减免、租金补贴等优惠，配套企业入驻满 3 年且实现达产的，对龙头企业给予最高 500 万元奖励。建立产业链协同信息平台，发布上下游企业供需信息，促进浙江与海南的企业开展原材料采购、零部件供应、产品分销等合作，降低产业链协同成本。</w:t>
      </w:r>
    </w:p>
    <w:p w14:paraId="772F25C1">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69" w:name="_Toc11035"/>
      <w:r>
        <w:rPr>
          <w:rFonts w:hint="eastAsia" w:ascii="仿宋_GB2312" w:hAnsi="仿宋_GB2312" w:eastAsia="仿宋_GB2312" w:cs="仿宋_GB2312"/>
          <w:sz w:val="28"/>
          <w:szCs w:val="28"/>
        </w:rPr>
        <w:t>2. 打破跨省协同壁垒，优化要素流动机制</w:t>
      </w:r>
      <w:bookmarkEnd w:id="69"/>
    </w:p>
    <w:p w14:paraId="2565F81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政策协同对接机制，加强浙江与海南两省在税收、金融、人才、通关等政策方面的衔接。在税收政策方面，对浙琼合作产业园内的跨省产业链企业，实行税收分成机制，企业在海南缴纳的增值税、企业所得税地方留成部分，按一定比例返还给浙江相关市县，调动两地政府协同推进的积极性；在金融政策方面，推动浙琼两地金融机构建立合作，为跨省产业链企业提供跨境结算、异地贷款、供应链金融等服务，降低企业融资成本；在人才政策方面，实现两地人才资质互认，浙江的高层次人才在产业园工作可享受海南的人才住房、子女教育、医疗保障等优惠政策。</w:t>
      </w:r>
    </w:p>
    <w:p w14:paraId="1543957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畅通要素跨区域流动渠道，优化人员流动便利化，开通浙江杭州、宁波等城市至海南海口的商务航线，加密航班频次，为企业人员往来提供便捷；推行 “人才飞地” 模式，浙江企业的研发人员可在浙江办公，通过远程协作参与产业园项目的技术研发，往返两地可享受交通补贴。畅通物流流动渠道，建立浙琼物流协同网络，整合两地物流企业资源，开通 “浙江 - 海南” 货运专线，降低货物运输成本；依托海南自贸港 “一线放开、二线管住” 政策，优化产业园货物通关流程，实现跨境货物快速通关。</w:t>
      </w:r>
    </w:p>
    <w:p w14:paraId="0C21DE7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市场准入协同机制，打破两地市场壁垒，实现浙琼合作产业园内企业在市场准入、资质许可、标准认证等方面的互认互通。浙江的企业入驻产业园后，可直接沿用其在浙江获得的相关资质许可，无需重复审批；两地共同制定跨省产业链协同标准，统一产品质量、安全、环保等标准，促进产品跨区域自由流通。</w:t>
      </w:r>
    </w:p>
    <w:p w14:paraId="0F29544E">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0" w:name="_Toc29068"/>
      <w:r>
        <w:rPr>
          <w:rFonts w:hint="eastAsia" w:ascii="仿宋_GB2312" w:hAnsi="仿宋_GB2312" w:eastAsia="仿宋_GB2312" w:cs="仿宋_GB2312"/>
          <w:sz w:val="28"/>
          <w:szCs w:val="28"/>
        </w:rPr>
        <w:t>3. 搭建协同创新与服务平台，强化支撑保障</w:t>
      </w:r>
      <w:bookmarkEnd w:id="70"/>
    </w:p>
    <w:p w14:paraId="23DE3C5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设跨省协同创新平台，联合浙江的高校、科研机构与海南大学、海南热带海洋学院等本地院校，在浙琼合作产业园共建产业技术研究院、联合实验室等创新平台，重点开展产业链关键技术研发。设立跨省协同创新专项资金，每年安排不少于 1 亿元，支持创新平台建设和技术研发项目，研发成果由两地企业共享。推动浙江的科技成果在产业园实现转化，对科技成果转化项目给予转化资金补贴（按转化金额的 20% 补贴，最高 3000 万元），加速创新驱动的产业链协同。</w:t>
      </w:r>
    </w:p>
    <w:p w14:paraId="38518D2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搭建公共服务平台，建设浙琼合作产业园综合服务中心，整合政务服务、商务服务、法律服务、知识产权服务等功能，为跨省产业链企业提供 “一站式” 服务。设立跨省贸易服务平台，提供报关、报检、退税、结汇等跨境贸易全流程服务；建设供应链管理平台，为企业提供原材料采购、库存管理、物流配送等供应链一体化服务，提升产业链协同效率。</w:t>
      </w:r>
    </w:p>
    <w:p w14:paraId="2D3F1B5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跨省产业协同协调机制，成立由浙琼两省发改委、商务厅等部门及产业园管理机构组成的协调小组，定期召开协调会议，解决跨省产业链协同中遇到的问题。建立协同发展考核评价体系，将产业链协同成效、企业满意度等纳入考核指标，对协同成效显著的市县、部门和企业给予表彰奖励，形成 “政府引导、市场主导、企业主体、多方参与” 的跨省产业链协同格局。</w:t>
      </w:r>
    </w:p>
    <w:p w14:paraId="582D3B73">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1" w:name="_Toc8922"/>
      <w:r>
        <w:rPr>
          <w:rFonts w:hint="eastAsia" w:ascii="仿宋_GB2312" w:hAnsi="仿宋_GB2312" w:eastAsia="仿宋_GB2312" w:cs="仿宋_GB2312"/>
          <w:sz w:val="28"/>
          <w:szCs w:val="28"/>
        </w:rPr>
        <w:t>4. 培育协同生态，打造可复制推广模式</w:t>
      </w:r>
      <w:bookmarkEnd w:id="71"/>
    </w:p>
    <w:p w14:paraId="27D481C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市场化协同机制，鼓励成立浙琼产业协同联盟，由两地龙头企业、行业协会牵头，吸纳产业链上下游企业、科研机构、金融机构等加入，制定联盟章程和协同规则，促进资源共享、合作共赢。联盟定期组织产业对接会、技术交流会、项目推介会等活动，每年不少于 4 场，搭建企业合作桥梁。推动联盟内企业开展股权合作、项目合作，形成利益共同体，增强产业链协同的稳定性和可持续性。</w:t>
      </w:r>
    </w:p>
    <w:p w14:paraId="19341B4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强化示范项目带动，选择数字经济跨境服务、跨境电商产业链协同、热带农产品深加工等领域，打造一批跨省产业链协同示范项目。例如，推动浙江跨境电商龙头企业与产业园企业合作，建设跨境电商保税仓和国际配送中心，实现 “浙江货源 + 海南保税 + 东南亚配送” 的协同模式；支持浙江食品加工企业与海南热带农产品基地合作，在产业园建设深加工基地，打造 “海南种植 + 浙江加工 + 全国销售” 的产业链。通过示范项目的成功实践，总结可复制的经验做法。</w:t>
      </w:r>
    </w:p>
    <w:p w14:paraId="3ED96F2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总结推广可复制模式，梳理浙琼合作产业园在产业链分工、要素流动、政策协同、平台支撑等方面的成功经验，形成 “跨省产业链协同” 的标准模式和操作指南。在全国范围内推广该模式，为其他跨省产业合作园区提供参考，推动全国区域产业协同发展水平提升。同时，借助海南自贸港的开放平台，将该模式向东南亚等国际市场延伸，打造 “国内跨省协同 + 国际跨境合作” 的产业发展新格局。</w:t>
      </w:r>
    </w:p>
    <w:p w14:paraId="6C9AC7C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7C6A5F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2FCE01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D19040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11A5612">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72" w:name="_Toc26365"/>
      <w:r>
        <w:rPr>
          <w:rFonts w:hint="eastAsia" w:ascii="楷体_GB2312" w:hAnsi="楷体_GB2312" w:eastAsia="楷体_GB2312" w:cs="楷体_GB2312"/>
          <w:sz w:val="28"/>
          <w:szCs w:val="28"/>
          <w:lang w:val="en-US" w:eastAsia="zh-CN"/>
        </w:rPr>
        <w:t>十六</w:t>
      </w:r>
      <w:r>
        <w:rPr>
          <w:rFonts w:hint="eastAsia" w:ascii="楷体_GB2312" w:hAnsi="楷体_GB2312" w:eastAsia="楷体_GB2312" w:cs="楷体_GB2312"/>
          <w:sz w:val="28"/>
          <w:szCs w:val="28"/>
        </w:rPr>
        <w:t>、澄迈蓝碳资源如何核算定价，融入海南自贸港碳交易市场？</w:t>
      </w:r>
      <w:bookmarkEnd w:id="72"/>
    </w:p>
    <w:p w14:paraId="50CDFE4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439BBB0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拥有丰富的蓝碳资源，辖区内红树林、滨海湿地、滩涂等生态系统发育良好，其中红树林面积达数万亩，是海南蓝碳资源的重要分布区域。蓝碳作为应对气候变化的重要生态资产，具有巨大的碳汇潜力，但目前澄迈蓝碳资源尚未进行系统的核算定价，缺乏科学的碳汇计量体系和价值评估标准，导致蓝碳资源的生态价值未能转化为经济价值。</w:t>
      </w:r>
    </w:p>
    <w:p w14:paraId="192ED3B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南自贸港已建立碳交易市场，逐步推进林业碳汇、海洋碳汇等纳入交易体系，但蓝碳交易仍处于试点探索阶段，缺乏成熟的交易规则和路径。澄迈作为海南蓝碳资源富集区，如何建立科学的蓝碳核算定价机制，将蓝碳资源纳入海南自贸港碳交易市场，不仅能为澄迈带来生态经济收益，还能为海南自贸港蓝碳交易试点提供实践经验，推动蓝碳资源的保护与可持续利用。</w:t>
      </w:r>
    </w:p>
    <w:p w14:paraId="1F1330F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随着 “双碳” 目标深入推进，蓝碳交易市场前景广阔，澄迈亟需破解蓝碳核算标准不统一、定价机制不健全、交易渠道不通畅等问题，实现蓝碳资源的市场化变现，助力区域绿色低碳发展。</w:t>
      </w:r>
    </w:p>
    <w:p w14:paraId="5237AEA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358EC3AE">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3" w:name="_Toc8346"/>
      <w:r>
        <w:rPr>
          <w:rFonts w:hint="eastAsia" w:ascii="仿宋_GB2312" w:hAnsi="仿宋_GB2312" w:eastAsia="仿宋_GB2312" w:cs="仿宋_GB2312"/>
          <w:sz w:val="28"/>
          <w:szCs w:val="28"/>
        </w:rPr>
        <w:t>1. 建立科学的蓝碳核算体系</w:t>
      </w:r>
      <w:bookmarkEnd w:id="73"/>
    </w:p>
    <w:p w14:paraId="01FFF48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展蓝碳资源普查与摸底，联合海南大学、中科院深海所等科研机构，对澄迈辖区内的红树林、滨海湿地、滩涂等蓝碳生态系统进行全面普查。调查核实各类蓝碳生态系统的面积、分布、植被类型、健康状况等基础数据，建立蓝碳资源数据库；监测蓝碳生态系统的碳储量、碳汇量变化，明确不同类型蓝碳生态系统的固碳速率和碳汇潜力，为核算定价提供基础数据支撑。</w:t>
      </w:r>
    </w:p>
    <w:p w14:paraId="110E520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制定本地化蓝碳核算标准，参照《红树林碳汇项目方法学》《滨海湿地碳汇核算指南》等国家和行业标准，结合澄迈蓝碳生态系统的地域特点，制定《澄迈县蓝碳资源核算地方标准》。明确蓝碳核算的指标体系、监测方法、数据采集规范和核算流程，统一碳储量、碳汇量的计算方法，确保核算结果科学准确、具有可比性。例如，针对澄迈红树林生态系统，明确乔木层、灌木层、枯枝落叶层、土壤层的碳储量核算方法，以及年度碳汇量的计量公式。</w:t>
      </w:r>
    </w:p>
    <w:p w14:paraId="5F0136D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建设蓝碳监测预警平台，利用卫星遥感、无人机巡查、地面监测等技术手段，构建 “天空地” 一体化的蓝碳监测网络。实时监测蓝碳生态系统的面积变化、植被覆盖度、健康状况等指标，动态核算碳汇量；建立蓝碳资源预警机制，对红树林退化、湿地破坏等情况及时发出预警，保障蓝碳资源的稳定与可持续。平台数据与海南自贸港碳交易市场数据平台对接，实现数据共享。</w:t>
      </w:r>
    </w:p>
    <w:p w14:paraId="519E6C72">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4" w:name="_Toc30496"/>
      <w:r>
        <w:rPr>
          <w:rFonts w:hint="eastAsia" w:ascii="仿宋_GB2312" w:hAnsi="仿宋_GB2312" w:eastAsia="仿宋_GB2312" w:cs="仿宋_GB2312"/>
          <w:sz w:val="28"/>
          <w:szCs w:val="28"/>
        </w:rPr>
        <w:t>2. 构建市场化蓝碳定价机制</w:t>
      </w:r>
      <w:bookmarkEnd w:id="74"/>
    </w:p>
    <w:p w14:paraId="56DA02E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探索多元化蓝碳定价方法，综合采用成本法、收益法、市场法等多种定价方法，科学评估澄迈蓝碳资源的价值。成本法主要核算蓝碳生态系统的保护修复成本，包括人工种植、病虫害防治、生态管护等成本；收益法主要预测蓝碳碳汇的未来市场收益，结合碳交易市场价格、碳汇有效期等因素计算现值；市场法参考国内已开展的蓝碳交易试点项目价格，结合澄迈蓝碳资源的质量、区位等因素进行调整。通过多种方法综合测算，形成合理的蓝碳定价区间。</w:t>
      </w:r>
    </w:p>
    <w:p w14:paraId="5F605A6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蓝碳价格动态调整机制，密切跟踪海南自贸港碳交易市场价格走势、国内国际碳市场行情、蓝碳生态系统质量变化等因素，定期调整澄迈蓝碳价格。每年开展一次蓝碳价格评估，根据评估结果调整定价区间，确保蓝碳价格与市场供需、生态价值相匹配。例如，当海南自贸港碳交易市场价格上涨 10% 以上时，相应上调澄迈蓝碳价格；当蓝碳生态系统质量提升、碳汇能力增强时，给予价格溢价。</w:t>
      </w:r>
    </w:p>
    <w:p w14:paraId="4681BC4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引入第三方评估机构，委托具备资质的第三方机构开展蓝碳核算与定价工作，确保核算结果和定价的客观性、公正性。第三方机构按照澄迈蓝碳核算地方标准，开展碳汇量核算，并结合市场情况进行定价评估，出具核算报告和定价建议，为蓝碳交易提供依据。建立第三方机构监管机制，对其核算定价过程进行监督，确保结果真实可信。</w:t>
      </w:r>
    </w:p>
    <w:p w14:paraId="3CF98A6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5" w:name="_Toc26923"/>
      <w:r>
        <w:rPr>
          <w:rFonts w:hint="eastAsia" w:ascii="仿宋_GB2312" w:hAnsi="仿宋_GB2312" w:eastAsia="仿宋_GB2312" w:cs="仿宋_GB2312"/>
          <w:sz w:val="28"/>
          <w:szCs w:val="28"/>
        </w:rPr>
        <w:t>3. 打通蓝碳融入自贸港碳交易市场的路径</w:t>
      </w:r>
      <w:bookmarkEnd w:id="75"/>
    </w:p>
    <w:p w14:paraId="5BE0CFC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培育蓝碳交易主体，鼓励澄迈县属国企成立蓝碳资源开发运营公司，作为蓝碳项目的开发主体，负责蓝碳资源的保护修复、碳汇核算、交易对接等工作。支持该公司申请海南自贸港碳交易市场交易主体资格，开展蓝碳碳汇交易。同时，引导企业、社会组织等参与蓝碳交易，鼓励排放企业购买澄迈蓝碳碳汇抵消碳排放，形成 “保护者受益、使用者付费” 的市场机制。</w:t>
      </w:r>
    </w:p>
    <w:p w14:paraId="4D978B7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动蓝碳项目纳入自贸港碳交易试点，按照海南自贸港碳交易市场的相关规定，整理澄迈蓝碳资源的基础数据、核算报告、定价依据等材料，申报蓝碳交易试点项目。争取将澄迈红树林蓝碳项目纳入海南自贸港碳交易试点清单，成为可交易的碳汇产品。探索蓝碳碳汇的交易方式，包括挂牌交易、协议转让等，明确交易流程、交易门槛、资金结算等规则，确保交易规范有序。</w:t>
      </w:r>
    </w:p>
    <w:p w14:paraId="6D539CA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建立蓝碳交易收益分配机制，明确蓝碳交易收益的分配比例，其中 70% 用于蓝碳生态系统的保护修复（包括红树林种植、湿地保护、监测设施建设等），20% 用于当地社区发展（包括生态管护岗位设置、社区基础设施建设等），10% 用于蓝碳资源的监测核算、市场推广等工作。收益分配向蓝碳资源所在地的乡镇、村集体倾斜，调动当地居民参与蓝碳保护的积极性，形成 “保护 - 交易 - 受益 - 再保护” 的良性循环。</w:t>
      </w:r>
    </w:p>
    <w:p w14:paraId="22AEB3C4">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6" w:name="_Toc29478"/>
      <w:r>
        <w:rPr>
          <w:rFonts w:hint="eastAsia" w:ascii="仿宋_GB2312" w:hAnsi="仿宋_GB2312" w:eastAsia="仿宋_GB2312" w:cs="仿宋_GB2312"/>
          <w:sz w:val="28"/>
          <w:szCs w:val="28"/>
        </w:rPr>
        <w:t>4. 强化蓝碳资源保护与市场推广</w:t>
      </w:r>
      <w:bookmarkEnd w:id="76"/>
    </w:p>
    <w:p w14:paraId="159B249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蓝碳生态系统保护修复，加大对红树林、滨海湿地等蓝碳生态系统的保护力度，严格管控围填海、乱砍滥伐等破坏行为。实施蓝碳生态修复工程，每年安排专项资金用于红树林补种、湿地恢复等项目，扩大蓝碳生态系统面积，提升碳汇能力。设置生态管护岗位，聘请当地居民担任蓝碳资源管护员，负责日常巡查、病虫害防治等工作，每人每月给予不低于 2000 元的补贴。</w:t>
      </w:r>
    </w:p>
    <w:p w14:paraId="75598AB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开展蓝碳品牌建设与市场推广，打造 “澄迈蓝碳” 区域公共品牌，通过举办蓝碳论坛、生态产品推介会等活动，宣传澄迈蓝碳资源的优势和价值。利用海南自贸港的开放平台，对接国内外碳排放权交易机构、排放企业、金融机构等，推广澄迈蓝碳产品。例如，与浙江、广东等省份的排放企业建立长期合作，为其提供蓝碳碳汇抵消服务；吸引金融机构开发蓝碳基金、蓝碳债券等金融产品，拓宽蓝碳交易的资金渠道。</w:t>
      </w:r>
    </w:p>
    <w:p w14:paraId="198EA57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争取政策支持与技术合作，积极对接海南省生态环境厅、省自然资源和规划厅等部门，争取将澄迈列为海南蓝碳交易重点试点县，获得政策、资金、技术等方面的支持。与国内蓝碳研究领先的科研机构、高校开展合作，引进先进的蓝碳核算技术、监测设备和交易模式，提升澄迈蓝碳资源开发利用的专业化水平。探索蓝碳交易与生态旅游、碳汇研学等产业的融合发展，拓展蓝碳资源的综合价值。</w:t>
      </w:r>
    </w:p>
    <w:p w14:paraId="5C32D24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567993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95B3CA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347A33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3F5379B">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十七</w:t>
      </w:r>
      <w:r>
        <w:rPr>
          <w:rFonts w:hint="eastAsia" w:ascii="楷体_GB2312" w:hAnsi="楷体_GB2312" w:eastAsia="楷体_GB2312" w:cs="楷体_GB2312"/>
          <w:sz w:val="28"/>
          <w:szCs w:val="28"/>
        </w:rPr>
        <w:t>、澄迈生态软件园如何吸引高端研发人才，突破 “重运营、轻研发” 瓶颈？</w:t>
      </w:r>
    </w:p>
    <w:p w14:paraId="1AE936D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51389FC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澄迈生态软件园作为海南自贸港数字经济产业的核心载体，已集聚大量数字经济企业，在游戏出海、跨境数据服务等领域形成一定产业规模，但其发展仍面临 “重运营、轻研发” 的突出瓶颈。园区内企业多以运营、销售、客服等中下游环节为主，核心研发环节薄弱，缺乏具有自主知识产权的核心技术和产品；高端研发人才短缺是导致这一问题的关键原因，园区内硕士及以上学历人才、高级职称人才占比远低于国内先进科技园区，且人才流失率较高。</w:t>
      </w:r>
    </w:p>
    <w:p w14:paraId="5F4A9E2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前，海南自贸港对数字经济高端人才的吸引力逐步增强，但澄迈在人才政策、研发环境、产业生态等方面仍存在短板：与一线城市相比，高端人才薪酬待遇缺乏竞争力；研发基础设施不完善，缺乏国家级科研平台和创新载体；产业配套不健全，难以形成人才集聚的虹吸效应。随着数字经济产业竞争加剧，核心技术研发成为园区发展的核心竞争力，如何吸引和留住高端研发人才，突破研发短板，成为澄迈生态软件园实现高质量发展、打造自贸港数字经济高地的关键。</w:t>
      </w:r>
    </w:p>
    <w:p w14:paraId="29D3D95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7620AB11">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7" w:name="_Toc12812"/>
      <w:r>
        <w:rPr>
          <w:rFonts w:hint="eastAsia" w:ascii="仿宋_GB2312" w:hAnsi="仿宋_GB2312" w:eastAsia="仿宋_GB2312" w:cs="仿宋_GB2312"/>
          <w:sz w:val="28"/>
          <w:szCs w:val="28"/>
        </w:rPr>
        <w:t>1. 优化高端人才政策体系，增强人才吸引力</w:t>
      </w:r>
      <w:bookmarkEnd w:id="77"/>
    </w:p>
    <w:p w14:paraId="4BB3B8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实施差异化薪酬激励政策，针对数字经济领域高端研发人才（包括算法工程师、软件架构师、人工智能专家等），制定 “一人一议” 的薪酬补贴政策。对年薪 50 万元以上的高端研发人才，按年度薪酬的 30% 给予补贴，最高补贴 50 万元，连续补贴 3 年；对引进的国家级领军人才、省级领军人才，分别给予 300 万元、150 万元的安家补贴，以及每月 5000 元、3000 元的生活补贴，补贴期限 5 年。同时，对高端研发人才的个人所得税地方留成部分全额返还，进一步提升薪酬竞争力。</w:t>
      </w:r>
    </w:p>
    <w:p w14:paraId="442D2E2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完善住房、教育、医疗等配套保障，建设高端人才公寓，提供精装修住房，高端研发人才可按市场价的 50% 租赁，在澄迈工作满 5 年且贡献突出的可按成本价购买。协调优质教育资源，为高端研发人才子女提供义务教育阶段公办学校优先入学资格，解决子女教育后顾之忧；与海口三甲医院合作，为高端研发人才提供专属医疗服务，包括优先就诊、健康体检、专家会诊等，提升人才生活幸福感。</w:t>
      </w:r>
    </w:p>
    <w:p w14:paraId="71558A8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建立人才股权激励机制，鼓励园区内企业对高端研发人才实施股权激励，企业以股权、期权等形式给予人才的激励收益，按规定享受税收优惠。对实施股权激励的企业，给予激励金额 10% 的补贴，最高 500 万元，激发企业引进和留住高端研发人才的积极性。</w:t>
      </w:r>
    </w:p>
    <w:p w14:paraId="735562BE">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8" w:name="_Toc10053"/>
      <w:r>
        <w:rPr>
          <w:rFonts w:hint="eastAsia" w:ascii="仿宋_GB2312" w:hAnsi="仿宋_GB2312" w:eastAsia="仿宋_GB2312" w:cs="仿宋_GB2312"/>
          <w:sz w:val="28"/>
          <w:szCs w:val="28"/>
        </w:rPr>
        <w:t>2. 搭建高端研发平台，完善创新载体支撑</w:t>
      </w:r>
      <w:bookmarkEnd w:id="78"/>
    </w:p>
    <w:p w14:paraId="0844C62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设国家级科研创新平台，联合国内顶尖高校、科研机构（如清华大学、中科院计算所等），在园区内共建数字经济领域国家级重点实验室、工程技术研究中心等科研平台，重点聚焦人工智能、大数据、区块链、跨境数据安全等前沿领域的技术研发。政府给予平台建设资金支持，按实际投资额的 20% 给予补贴，最高 1 亿元；支持平台开展技术攻关项目，对国家级科研项目给予配套资金支持，配套比例不低于项目经费的 50%。</w:t>
      </w:r>
    </w:p>
    <w:p w14:paraId="7128067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打造企业研发中心集群，鼓励园区内龙头企业设立企业研究院、研发中心，对获得国家级、省级认定的企业研发中心，分别给予 500 万元、200 万元的一次性奖励。支持企业与科研机构开展产学研合作，共建联合研发中心，共同攻克产业关键技术难题，对合作研发项目按实际研发投入的 30% 给予补贴，最高 3000 万元。例如，支持游戏企业与高校合作建立游戏引擎研发中心，支持跨境数据服务企业与科研机构合作建立数据安全实验室。</w:t>
      </w:r>
    </w:p>
    <w:p w14:paraId="4468A3B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研发基础设施配套，建设园区公共技术服务平台，配备先进的研发设备、测试仪器、算力资源等，为中小微企业提供共享服务，降低企业研发成本。建设数字经济创新孵化基地，为高端研发人才创业提供办公场地、创业辅导、融资对接等一站式服务，孵化期内免租金，给予最高 500 万元的创业启动资金支持。同时，建设园区创新文化空间，包括创客空间、学术交流中心等，为研发人才提供交流合作的平台。</w:t>
      </w:r>
    </w:p>
    <w:p w14:paraId="4E07E16F">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79" w:name="_Toc6285"/>
      <w:r>
        <w:rPr>
          <w:rFonts w:hint="eastAsia" w:ascii="仿宋_GB2312" w:hAnsi="仿宋_GB2312" w:eastAsia="仿宋_GB2312" w:cs="仿宋_GB2312"/>
          <w:sz w:val="28"/>
          <w:szCs w:val="28"/>
        </w:rPr>
        <w:t>3. 优化产业生态，营造良好研发环境</w:t>
      </w:r>
      <w:bookmarkEnd w:id="79"/>
    </w:p>
    <w:p w14:paraId="3EE1F2A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构建完整的数字经济产业链，围绕高端研发环节，重点引进芯片设计、操作系统开发、核心算法研发等上游企业，与园区现有运营、销售企业形成协同，完善产业链条。建立产业链上下游企业对接机制，促进研发企业与应用企业合作，加速技术成果转化，让高端研发人才的研发成果快速落地应用，提升研发积极性。例如，推动人工智能研发企业与本地旅游、农业等领域企业合作，开发智能化应用产品。</w:t>
      </w:r>
    </w:p>
    <w:p w14:paraId="343317D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加强知识产权保护与服务，建立园区知识产权服务中心，为高端研发人才提供专利申请、商标注册、版权登记等一站式服务，专利申请费用给予 50% 补贴。加强知识产权执法力度，严厉打击侵权假冒行为，保护研发人才的智力成果。建立知识产权交易平台，促进专利技术转让、许可使用，实现研发成果的市场化变现，提升研发的经济回报。</w:t>
      </w:r>
    </w:p>
    <w:p w14:paraId="7350BAA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营造崇尚创新的园区文化，举办数字经济创新大赛、技术论坛、学术研讨会等活动，每年不少于 8 场，为高端研发人才提供交流展示的平台。设立园区创新奖励基金，对在核心技术研发、重大项目突破等方面做出突出贡献的研发人才和团队，给予最高 1000 万元奖励。鼓励企业建立宽容失败的研发机制，对研发项目失败的企业，给予研发投入 50% 的风险补偿，最高 500 万元，激发研发人才的创新勇气。</w:t>
      </w:r>
    </w:p>
    <w:p w14:paraId="63B9E12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80" w:name="_Toc24014"/>
      <w:r>
        <w:rPr>
          <w:rFonts w:hint="eastAsia" w:ascii="仿宋_GB2312" w:hAnsi="仿宋_GB2312" w:eastAsia="仿宋_GB2312" w:cs="仿宋_GB2312"/>
          <w:sz w:val="28"/>
          <w:szCs w:val="28"/>
        </w:rPr>
        <w:t>4. 深化校企合作，构建人才培养与引进联动机制</w:t>
      </w:r>
      <w:bookmarkEnd w:id="80"/>
    </w:p>
    <w:p w14:paraId="7C7B4EF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建立高端人才联合培养基地，与国内高校签订人才培养协议，共建数字经济相关专业，开设 “澄迈定向班”，根据园区企业研发需求设置课程，学生毕业后优先进入园区企业工作。对定向培养的学生，给予学费补贴，毕业后在园区工作满 3 年的，补贴全额学费；企业为定向班学生提供实习岗位，给予实习补贴，政府按实习补贴的 50% 给予企业奖励。</w:t>
      </w:r>
    </w:p>
    <w:p w14:paraId="4394E9E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开展人才引进 “柔性合作”，邀请国内外顶尖研发专家、院士等担任园区顾问，通过短期兼职、项目合作、技术指导等方式参与园区研发工作。对柔性引进的专家，给予每人每天 2000 元的补贴，每年补贴期限不超过 60 天；为其提供科研经费支持，最高 500 万元，用于开展研发项目。同时，定期组织园区研发人才赴国内外先进科技园区、企业考察学习，学习先进研发理念和技术经验。</w:t>
      </w:r>
    </w:p>
    <w:p w14:paraId="207288A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建立人才推荐激励机制，鼓励园区企业、员工、行业协会等推荐高端研发人才，对成功引进符合条件的高端研发人才的，给予推荐人最高 10 万元奖励。与国内外人才中介机构合作，委托其开展高端研发人才招聘，给予招聘费用 50% 的补贴，拓宽人才引进渠道。</w:t>
      </w:r>
    </w:p>
    <w:p w14:paraId="68BE35F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56D4A2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685533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16892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E5C91B3">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81" w:name="_Toc24302"/>
      <w:r>
        <w:rPr>
          <w:rFonts w:hint="eastAsia" w:ascii="楷体_GB2312" w:hAnsi="楷体_GB2312" w:eastAsia="楷体_GB2312" w:cs="楷体_GB2312"/>
          <w:sz w:val="28"/>
          <w:szCs w:val="28"/>
          <w:lang w:val="en-US" w:eastAsia="zh-CN"/>
        </w:rPr>
        <w:t>十八</w:t>
      </w:r>
      <w:r>
        <w:rPr>
          <w:rFonts w:hint="eastAsia" w:ascii="楷体_GB2312" w:hAnsi="楷体_GB2312" w:eastAsia="楷体_GB2312" w:cs="楷体_GB2312"/>
          <w:sz w:val="28"/>
          <w:szCs w:val="28"/>
        </w:rPr>
        <w:t>、澄迈油气服务产业核心技术国产化的关键瓶颈与突破路径</w:t>
      </w:r>
      <w:bookmarkEnd w:id="81"/>
    </w:p>
    <w:p w14:paraId="721C0CC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1866D25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作为海南油气服务产业的重要承载地，依托马村港及油气产业园，已集聚一批油气勘探开发、钻采服务、设备维修等企业，形成了基础的产业配套体系。随着海南自贸港建设深入推进，油气产业作为自贸港重点发展的高新技术产业之一，面临着巨大的发展机遇。但当前澄迈油气服务产业核心技术国产化率不足 30%，关键设备（如高端钻井工具、油气分离装置）、核心材料（如耐高压腐蚀管材）、智能控制系统等高度依赖进口，不仅导致产业利润被压缩、服务响应效率受限，还面临国际技术封锁、供应链中断等潜在风险。</w:t>
      </w:r>
    </w:p>
    <w:p w14:paraId="7DB822D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全球能源安全战略背景下，油气服务产业核心技术国产化已成为保障国家能源安全、提升产业国际竞争力的关键。澄迈凭借自贸港政策优势、产业基础及区位条件，具备推动核心技术国产化的独特优势，但同时也面临研发投入不足、高端人才短缺、产学研协同不紧密、中试转化平台缺失等多重挑战。破解这些瓶颈，探索可行的突破路径，对澄迈油气服务产业高质量发展、助力海南自贸港建设具有重要意义。</w:t>
      </w:r>
    </w:p>
    <w:p w14:paraId="0707A19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26603481">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82" w:name="_Toc21586"/>
      <w:r>
        <w:rPr>
          <w:rFonts w:hint="eastAsia" w:ascii="仿宋_GB2312" w:hAnsi="仿宋_GB2312" w:eastAsia="仿宋_GB2312" w:cs="仿宋_GB2312"/>
          <w:sz w:val="28"/>
          <w:szCs w:val="28"/>
        </w:rPr>
        <w:t>1. 核心技术国产化的关键瓶颈</w:t>
      </w:r>
      <w:bookmarkEnd w:id="82"/>
    </w:p>
    <w:p w14:paraId="1936C9F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研发投入与创新能力不足：澄迈油气服务企业以中小企业为主，2024 年规上企业研发投入占营收比重平均仅 2.1%，远低于国内行业平均 4.5% 的水平。企业普遍缺乏自主研发核心团队，难以承担长期、高投入的技术攻关项目，导致在高端钻采设备、油气自动化控制系统等关键领域难以形成技术突破。 </w:t>
      </w:r>
    </w:p>
    <w:p w14:paraId="2199BE5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高端人才引育困境：油气核心技术研发需要油气工程、材料科学、自动化控制等多领域复合型人才，但澄迈缺乏高端人才集聚的产业生态和生活配套，高校相关专业人才供给不足，外地高端人才因住房、教育、医疗等配套短板不愿长期扎根，导致人才流失率常年保持在 15% 以上。 </w:t>
      </w:r>
    </w:p>
    <w:p w14:paraId="586183D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产学研协同机制不健全：澄迈本地缺乏油气领域顶尖科研机构，与国内石油院校（如中国石油大学、西南石油大学）、科研院所的合作多停留在技术咨询层面，未形成 “需求 - 研发 - 中试 - 转化” 的闭环协同。企业提出的技术需求与科研机构研发方向脱节，科研成果转化率不足 5%，难以快速落地形成产业化应用。 </w:t>
      </w:r>
    </w:p>
    <w:p w14:paraId="6994C8D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中试与产业化平台缺失：油气核心技术从实验室研发到产业化应用，需要经过严格的中试验证（如高温高压模拟测试、耐腐蚀性试验），但澄迈目前缺乏专业的油气技术中试基地和检测认证平台，企业需将样品送往内地或国外进行测试，不仅增加了研发成本，还延长了技术转化周期。 </w:t>
      </w:r>
    </w:p>
    <w:p w14:paraId="00D4C5C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政策支持与市场环境不完善：自贸港针对油气产业的专项扶持政策多集中在税收减免、土地优惠等基础层面，针对核心技术研发的专项补贴、研发设备进口免税、知识产权保护等精准支持政策不足。同时，国内油气市场部分领域存在准入壁垒，国产化技术和设备面临 “示范应用难” 的困境，企业缺乏验证技术可靠性的场景。 </w:t>
      </w:r>
    </w:p>
    <w:p w14:paraId="6C1B61AE">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83" w:name="_Toc1933"/>
      <w:r>
        <w:rPr>
          <w:rFonts w:hint="eastAsia" w:ascii="仿宋_GB2312" w:hAnsi="仿宋_GB2312" w:eastAsia="仿宋_GB2312" w:cs="仿宋_GB2312"/>
          <w:sz w:val="28"/>
          <w:szCs w:val="28"/>
        </w:rPr>
        <w:t>2. 核心技术国产化的突破路径</w:t>
      </w:r>
      <w:bookmarkEnd w:id="83"/>
    </w:p>
    <w:p w14:paraId="7ED827F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强化研发投入与创新主体培育：设立澄迈油气产业核心技术攻关专项基金，每年安排不低于 5000 万元，对企业研发高端油气设备、核心材料等给予研发费用 50% 的补贴，对获得国家级、省级科技奖项的技术成果给予最高 1000 万元奖励。支持龙头企业联合中小企业组建创新联合体，承担国家、省级重大科技专项，对牵头企业给予项目经费 20% 的配套支持。鼓励企业通过自贸港政策引进海外先进研发设备，享受 “零关税” 进口优惠，降低研发成本。 </w:t>
      </w:r>
    </w:p>
    <w:p w14:paraId="75D91A7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构建高端人才引育体系：实施 “油气产业高端人才计划”，对引进的国家级领军人才、省级领军人才分别给予 300 万元、150 万元安家补贴，提供人才公寓、子女公办学校入学资格、医疗绿色通道等配套保障。与中国石油大学、西南石油大学等高校共建 “澄迈油气产业人才培养基地”，开设定向培养班，企业为学生提供实习岗位和奖学金，毕业后优先录用。设立 “油气产业专家工作站”，柔性引进国内外顶尖专家，开展技术指导和联合攻关，给予专家每年最高 50 万元工作补贴。 </w:t>
      </w:r>
    </w:p>
    <w:p w14:paraId="257A639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深化产学研协同创新：推动澄迈油气产业园与国内顶尖油气科研机构共建 “油气技术创新研究院”，聚焦钻采设备智能化、油气环保处理、新能源融合等重点方向，开展共性技术攻关。建立 “企业需求清单 + 科研机构供给清单” 对接机制，每年举办 2 次产学研对接会，促进企业与科研机构精准合作。设立产学研合作专项基金，对成功转化的科研成果，给予成果持有方和转化企业各 10% 的收益补贴，最高不超过 500 万元。 </w:t>
      </w:r>
    </w:p>
    <w:p w14:paraId="3CD081D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搭建中试与产业化服务平台：依托自贸港政策，争取国家能源局支持，在澄迈油气产业园建设 “国家级油气技术中试与检测认证平台”，配备高温高压模拟实验室、耐腐蚀性测试中心、智能控制调试平台等设施，为企业提供中试验证、检测认证 “一站式” 服务。平台运营初期由政府给予 3 年运营补贴，对本地企业使用平台服务给予 50% 的费用减免。鼓励企业联合社会资本建设油气设备共享制造中心，解决中小企业中试生产设备不足的问题。 </w:t>
      </w:r>
    </w:p>
    <w:p w14:paraId="5A6BCFE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优化政策支持与市场培育环境：制定澄迈油气核心技术国产化专项政策，对国产化技术和设备给予首购首用保险补贴，降低企业应用风险。利用自贸港 “零关税”“低税率” 政策，吸引国内外油气设备制造企业在澄迈设立生产基地，完善产业链配套，形成 “研发 - 生产 - 服务” 一体化产业生态。争取将澄迈油气产业园纳入国家油气产业对外开放试验示范区，试点开展油气技术国际合作，引进海外先进技术进行消化吸收再创新。</w:t>
      </w:r>
    </w:p>
    <w:p w14:paraId="7E3D8E4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9D231C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0994A4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D79527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E633AA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6183C9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A4ED6C8">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84" w:name="_Toc31388"/>
      <w:r>
        <w:rPr>
          <w:rFonts w:hint="eastAsia" w:ascii="楷体_GB2312" w:hAnsi="楷体_GB2312" w:eastAsia="楷体_GB2312" w:cs="楷体_GB2312"/>
          <w:sz w:val="28"/>
          <w:szCs w:val="28"/>
          <w:lang w:val="en-US" w:eastAsia="zh-CN"/>
        </w:rPr>
        <w:t>十九</w:t>
      </w:r>
      <w:r>
        <w:rPr>
          <w:rFonts w:hint="eastAsia" w:ascii="楷体_GB2312" w:hAnsi="楷体_GB2312" w:eastAsia="楷体_GB2312" w:cs="楷体_GB2312"/>
          <w:sz w:val="28"/>
          <w:szCs w:val="28"/>
        </w:rPr>
        <w:t>、澄迈如何利用自贸港政策，吸引跨境数字服务企业集聚</w:t>
      </w:r>
      <w:bookmarkEnd w:id="84"/>
    </w:p>
    <w:p w14:paraId="14C08D9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1625B8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服务产业作为海南自贸港重点发展的战略性新兴产业，涵盖跨境数据服务、数字贸易、云计算、人工智能应用等多个领域，具有高附加值、低污染、高成长性的特点。澄迈凭借毗邻海口的区位优势、较低的营商成本及生态环境优势，已初步集聚部分数字服务企业，但跨境数字服务企业数量不足 20 家，且多为中小型企业，缺乏龙头企业引领，产业集聚效应不明显。</w:t>
      </w:r>
    </w:p>
    <w:p w14:paraId="0D183A5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海南自贸港出台了一系列支持数字服务产业发展的政策，包括跨境数据流动试点、企业所得税 15% 优惠、高端人才个人所得税优惠、跨境服务贸易负面清单管理等，为吸引跨境数字服务企业提供了政策红利。但澄迈当前面临数字基础设施不完善、数据安全监管体系不健全、跨境服务配套不足、产业生态不成熟等问题，未能充分发挥自贸港政策优势。</w:t>
      </w:r>
    </w:p>
    <w:p w14:paraId="435F80D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全球数字经济快速发展、跨境数字服务需求持续增长的背景下，澄迈若能充分利用自贸港政策，破解现有短板，吸引跨境数字服务企业集聚，将不仅能推动产业结构优化升级，还能带动就业增收，提升在海南数字经济格局中的地位，为自贸港跨境数字服务产业发展提供重要支撑。</w:t>
      </w:r>
    </w:p>
    <w:p w14:paraId="7CF22B1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4C567A01">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85" w:name="_Toc26203"/>
      <w:r>
        <w:rPr>
          <w:rFonts w:hint="eastAsia" w:ascii="仿宋_GB2312" w:hAnsi="仿宋_GB2312" w:eastAsia="仿宋_GB2312" w:cs="仿宋_GB2312"/>
          <w:sz w:val="28"/>
          <w:szCs w:val="28"/>
        </w:rPr>
        <w:t>1. 依托自贸港政策打造差异化政策优势</w:t>
      </w:r>
      <w:bookmarkEnd w:id="85"/>
    </w:p>
    <w:p w14:paraId="2DD3B42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跨境数据流动便利化试点：积极争取纳入海南自贸港跨境数据流动第二批试点区域，依托澄迈软件园，建设跨境数据服务平台，落实 “负面清单 + 安全评估” 管理模式。对符合条件的跨境数字服务企业，简化数据跨境传输安全评估流程，压缩评估时限至 15 个工作日内。利用自贸港数据跨境流动 “白名单” 制度，推动企业数据安全有序流动，降低企业合规成本。 </w:t>
      </w:r>
    </w:p>
    <w:p w14:paraId="3A23CF7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税收与财政政策精准支持：对入驻澄迈的跨境数字服务企业，享受自贸港企业所得税 15% 优惠政策的基础上，对年度营收超 1 亿元的企业，给予地方财政留存部分 50% 的奖励；对跨境数字服务出口额占比超 70% 的企业，额外给予出口额 3% 的补贴，最高不超过 1000 万元。对企业进口的服务器、存储设备等数字基础设施，享受 “零关税” 进口政策，简化通关流程。 </w:t>
      </w:r>
    </w:p>
    <w:p w14:paraId="4739B15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人才政策优化升级：针对跨境数字服务企业所需的软件工程师、数据分析师、跨境业务专员等人才，扩大 “自贸港人才清单” 覆盖范围，对符合条件的人才给予个人所得税地方留存部分全额返还。建设国际化人才社区，配备多语种学校、国际医疗诊所、跨境购物商圈等配套设施，为外籍人才提供签证办理、工作许可、生活服务 “一站式” 服务。 </w:t>
      </w:r>
    </w:p>
    <w:p w14:paraId="2696C784">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86" w:name="_Toc21191"/>
      <w:r>
        <w:rPr>
          <w:rFonts w:hint="eastAsia" w:ascii="仿宋_GB2312" w:hAnsi="仿宋_GB2312" w:eastAsia="仿宋_GB2312" w:cs="仿宋_GB2312"/>
          <w:sz w:val="28"/>
          <w:szCs w:val="28"/>
        </w:rPr>
        <w:t>2. 完善数字基础设施与产业配套</w:t>
      </w:r>
      <w:bookmarkEnd w:id="86"/>
    </w:p>
    <w:p w14:paraId="17ADF12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升级数字基础设施：加快 5G 网络、千兆光纤网络全覆盖，在澄迈软件园、马村港片区建设边缘计算节点和云计算中心，提供低时延、高带宽的网络服务。推进 “数字澄迈” 建设，构建城市数据中台，为跨境数字服务企业提供数据存储、算力支撑、数据治理等基础服务。争取建设自贸港跨境通信专用通道，降低企业跨境数据传输成本，提升传输效率。 </w:t>
      </w:r>
    </w:p>
    <w:p w14:paraId="3B764D5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构建跨境服务配套体系：依托马村港和海南自贸港 “单一窗口”，建设跨境数字贸易综合服务平台，整合报关、报检、结汇、退税等功能，为企业提供全流程线上服务。引入跨境支付、跨境物流、法律咨询、知识产权服务等专业机构，形成 “数字服务 + 配套服务” 的产业生态。建设跨境数字服务孵化器，为初创企业提供办公场地、创业辅导、融资对接等服务，孵化期内免租金，给予最高 300 万元的创业启动资金。 </w:t>
      </w:r>
    </w:p>
    <w:p w14:paraId="0D827C7C">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87" w:name="_Toc17207"/>
      <w:r>
        <w:rPr>
          <w:rFonts w:hint="eastAsia" w:ascii="仿宋_GB2312" w:hAnsi="仿宋_GB2312" w:eastAsia="仿宋_GB2312" w:cs="仿宋_GB2312"/>
          <w:sz w:val="28"/>
          <w:szCs w:val="28"/>
        </w:rPr>
        <w:t>3. 打造特色应用场景与产业集群</w:t>
      </w:r>
      <w:bookmarkEnd w:id="87"/>
    </w:p>
    <w:p w14:paraId="75A5A4A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聚焦重点细分领域：依托自贸港政策，重点吸引跨境电商服务、数字内容制作、跨境金融科技、智慧物流数字化服务等领域企业。例如，吸引跨境电商平台的运营服务、数字营销、供应链数字化管理企业；鼓励数字内容企业开展跨境游戏开发、影视后期制作、数字文创出口等业务；支持金融科技企业开展跨境支付结算、数字货币应用等创新服务。 </w:t>
      </w:r>
    </w:p>
    <w:p w14:paraId="722686F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搭建场景对接平台：挖掘澄迈及海南本地应用场景，如油气产业数字化、农业数字化、旅游数字化等，为跨境数字服务企业提供本地化应用场景试点。每年举办 “跨境数字服务产业对接会”，促进企业与本地政府、企业对接合作，加速技术落地。建设跨境数字服务展示中心，展示企业创新产品和服务，吸引国内外客户资源。 </w:t>
      </w:r>
    </w:p>
    <w:p w14:paraId="12849B66">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88" w:name="_Toc17085"/>
      <w:r>
        <w:rPr>
          <w:rFonts w:hint="eastAsia" w:ascii="仿宋_GB2312" w:hAnsi="仿宋_GB2312" w:eastAsia="仿宋_GB2312" w:cs="仿宋_GB2312"/>
          <w:sz w:val="28"/>
          <w:szCs w:val="28"/>
        </w:rPr>
        <w:t>4. 强化数据安全与营商环境保障</w:t>
      </w:r>
      <w:bookmarkEnd w:id="88"/>
    </w:p>
    <w:p w14:paraId="4C9D9D2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健全数据安全监管体系：落实《海南自由贸易港数据安全条例》，建设澄迈数据安全监测平台，对跨境数据流动进行实时监测、风险预警。引入第三方数据安全评估机构，为企业提供数据安全合规咨询、评估认证服务。开展数据安全培训，提升企业数据安全管理水平，降低数据安全风险。 </w:t>
      </w:r>
    </w:p>
    <w:p w14:paraId="4CB1D1E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优化营商环境：推行 “极简审批” 服务，对跨境数字服务企业设立、经营许可等事项，实现 “一窗受理、并联审批”，审批时限压缩至 3 个工作日内。建立企业诉求快速响应机制，设立跨境数字服务企业服务专员，及时解决企业在政策申报、资质办理、生活配套等方面的问题。加强知识产权保护，建立知识产权快速维权通道，严厉打击侵权假冒行为，保障企业合法权益。</w:t>
      </w:r>
    </w:p>
    <w:p w14:paraId="15323BA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FEC6BB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2E18DC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8C2B0C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62BDB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4F0514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F70A5D3">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89" w:name="_Toc15325"/>
      <w:r>
        <w:rPr>
          <w:rFonts w:hint="eastAsia" w:ascii="楷体_GB2312" w:hAnsi="楷体_GB2312" w:eastAsia="楷体_GB2312" w:cs="楷体_GB2312"/>
          <w:sz w:val="28"/>
          <w:szCs w:val="28"/>
          <w:lang w:val="en-US" w:eastAsia="zh-CN"/>
        </w:rPr>
        <w:t>二十</w:t>
      </w:r>
      <w:r>
        <w:rPr>
          <w:rFonts w:hint="eastAsia" w:ascii="楷体_GB2312" w:hAnsi="楷体_GB2312" w:eastAsia="楷体_GB2312" w:cs="楷体_GB2312"/>
          <w:sz w:val="28"/>
          <w:szCs w:val="28"/>
        </w:rPr>
        <w:t>、海口经济圈教育资源共建共享，澄迈如何提升本土学校办学质量</w:t>
      </w:r>
      <w:bookmarkEnd w:id="89"/>
    </w:p>
    <w:p w14:paraId="12F846B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34D3F3E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海口经济圈作为海南 “三极一带” 区域协调发展格局的核心极，涵盖海口、澄迈、文昌、定安等市县，教育资源共建共享是推动经济圈协同发展的重要内容。澄迈紧邻海口，是海口经济圈教育资源辐射的直接受益地，但当前澄迈本土学校办学质量与海口存在显著差距：2024 年澄迈义务教育阶段学校优质师资占比仅 18%，远低于海口 35% 的水平；高考一本上线率连续三年低于全省平均水平；学前教育公办园覆盖率 42%，低于海口 68%；职业教育专业设置与本地产业需求匹配度不足 50%。</w:t>
      </w:r>
    </w:p>
    <w:p w14:paraId="1D317C4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随着海口经济圈教育一体化进程加快，澄迈具备借助海口优质教育资源、提升本土办学质量的良好机遇。但澄迈面临优质师资引育难、教育经费投入不足、办学理念相对落后、校际合作机制不健全等问题，未能充分承接海口教育资源的辐射带动作用。在自贸港建设背景下，提升本土学校办学质量，不仅能满足澄迈居民对优质教育的需求、减少人才外流，还能增强区域人才吸引力，为澄迈产业发展提供人才支撑，助力海口经济圈教育均衡高质量发展。</w:t>
      </w:r>
    </w:p>
    <w:p w14:paraId="0B815CD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4E8EB4C6">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0" w:name="_Toc27350"/>
      <w:r>
        <w:rPr>
          <w:rFonts w:hint="eastAsia" w:ascii="仿宋_GB2312" w:hAnsi="仿宋_GB2312" w:eastAsia="仿宋_GB2312" w:cs="仿宋_GB2312"/>
          <w:sz w:val="28"/>
          <w:szCs w:val="28"/>
        </w:rPr>
        <w:t>1. 深化与海口优质学校的合作共建</w:t>
      </w:r>
      <w:bookmarkEnd w:id="90"/>
    </w:p>
    <w:p w14:paraId="149BB0A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建立校际结对帮扶机制：推动澄迈县重点中小学、幼儿园与海口优质学校（如海南中学、海口市第一中学、海口实验幼儿园）建立 “一对一” 结对帮扶关系，签订 3-5 年合作协议。海口优质学校选派校长、骨干教师到澄迈帮扶学校担任管理职务或开展教学指导，澄迈学校选派教师到海口学校跟岗学习，每年交流时长不少于 3 个月。 </w:t>
      </w:r>
    </w:p>
    <w:p w14:paraId="2CBEE8F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共建教育共同体：联合海口优质学校、教育科研机构，组建跨区域教育共同体，共享课程资源、教学科研成果、师资培训体系。共同开发特色课程（如自贸港文化、海洋教育、科技启蒙等），通过线上平台实现优质课程共建共享，覆盖澄迈所有中小学。定期举办跨区域教学研讨会、优质课评比、学生交流活动，促进教育理念、教学方法的融合创新。 </w:t>
      </w:r>
    </w:p>
    <w:p w14:paraId="6E8A2C7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引入海口优质教育品牌：积极对接海口知名教育集团，争取在澄迈设立分校或合作办学项目，引入其成熟的办学模式、管理体系和师资团队。对引进的优质教育品牌项目，给予土地供应、建设资金补贴等支持，保障项目快速落地。例如，支持海口优质民办学校在澄迈建设分校，享受与本地学校同等的招生政策。 </w:t>
      </w:r>
    </w:p>
    <w:p w14:paraId="4A19214E">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1" w:name="_Toc19081"/>
      <w:r>
        <w:rPr>
          <w:rFonts w:hint="eastAsia" w:ascii="仿宋_GB2312" w:hAnsi="仿宋_GB2312" w:eastAsia="仿宋_GB2312" w:cs="仿宋_GB2312"/>
          <w:sz w:val="28"/>
          <w:szCs w:val="28"/>
        </w:rPr>
        <w:t>2. 加强师资队伍建设与引育</w:t>
      </w:r>
      <w:bookmarkEnd w:id="91"/>
    </w:p>
    <w:p w14:paraId="13DF012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借力海口师资培训资源：与海口教育学院、海口优质学校合作，建立澄迈教师培训基地，每年组织澄迈中小学教师、校长参加海口举办的各类培训、研修活动，培训覆盖率达 100%。邀请海口教育专家、骨干教师组成 “名师送教团”，定期到澄迈开展教学指导、示范课展示等活动，每年不少于 8 场次。 </w:t>
      </w:r>
    </w:p>
    <w:p w14:paraId="5CB27AC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优化师资引进政策：依托海口经济圈人才自由流动政策，制定澄迈教育高端人才引进计划，对从海口或外地引进的省级以上骨干教师、学科带头人，给予最高 50 万元安家补贴、每月 3000 元生活补贴，解决住房、子女入学等问题。建立 “柔性引才” 机制，邀请海口退休名师、高校教授到澄迈学校担任顾问或兼职教师，给予相应的劳务报酬。 </w:t>
      </w:r>
    </w:p>
    <w:p w14:paraId="459EE22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完善师资激励机制：提高澄迈教师薪酬待遇，确保义务教育阶段教师平均工资收入不低于当地公务员平均水平。设立 “教学成果奖”“名师工作室”，对在教学改革、课题研究、学生培养等方面取得突出成绩的教师给予奖励，每个名师工作室给予每年 10 万元经费支持。推动澄迈与海口教师职称评审标准互认，畅通教师职业发展通道。 </w:t>
      </w:r>
    </w:p>
    <w:p w14:paraId="7C3297D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2" w:name="_Toc29317"/>
      <w:r>
        <w:rPr>
          <w:rFonts w:hint="eastAsia" w:ascii="仿宋_GB2312" w:hAnsi="仿宋_GB2312" w:eastAsia="仿宋_GB2312" w:cs="仿宋_GB2312"/>
          <w:sz w:val="28"/>
          <w:szCs w:val="28"/>
        </w:rPr>
        <w:t>3. 加大教育经费投入与基础设施升级</w:t>
      </w:r>
      <w:bookmarkEnd w:id="92"/>
    </w:p>
    <w:p w14:paraId="4950FEE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优化教育经费支出结构：2025-2027 年，澄迈县财政教育经费投入年均增长不低于 10%，重点投向学校基础设施升级、教学设备更新、师资培训、特色课程开发等方面。设立海口经济圈教育合作专项经费，每年安排不低于 800 万元，用于校际合作、资源共享、教师交流等工作。 </w:t>
      </w:r>
    </w:p>
    <w:p w14:paraId="7214695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升级学校基础设施：对标海口优质学校标准，对澄迈县域内中小学、幼儿园进行标准化改造，完善实验室、多媒体教室、图书馆、体育场馆等设施建设。推进 “智慧校园” 建设，为所有中小学配备智慧教学设备、校园管理系统，实现与海口优质学校的线上教学互联互通。改善农村学校办学条件，缩小城乡教育差距。 </w:t>
      </w:r>
    </w:p>
    <w:p w14:paraId="797460BF">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3" w:name="_Toc16003"/>
      <w:r>
        <w:rPr>
          <w:rFonts w:hint="eastAsia" w:ascii="仿宋_GB2312" w:hAnsi="仿宋_GB2312" w:eastAsia="仿宋_GB2312" w:cs="仿宋_GB2312"/>
          <w:sz w:val="28"/>
          <w:szCs w:val="28"/>
        </w:rPr>
        <w:t>4. 推动职业教育与产业需求精准对接</w:t>
      </w:r>
      <w:bookmarkEnd w:id="93"/>
    </w:p>
    <w:p w14:paraId="1E3CAA3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对接海口职业教育资源：与海口职业技术学院、海南经贸职业技术学院等院校合作，共建实训基地、共享师资力量，开展 “3+2” 中高职贯通培养项目，为澄迈学生提供升学通道。引进海口职业院校的优质专业课程和教学标准，结合澄迈油气服务、数字经济、现代农业等产业需求，调整职业学校专业设置，新增油气设备维修、跨境电商、智慧农业等特色专业。 </w:t>
      </w:r>
    </w:p>
    <w:p w14:paraId="03A0CD1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深化产教融合：联合海口经济圈企业、行业协会，组建职业教育产教联盟，推动职业学校与企业共建产业学院、实训基地，实行 “订单式” 人才培养。企业参与职业学校课程设计、教学评价，为学生提供实习岗位和就业机会，实现 “入学即就业”。对深度参与产教融合的企业，给予税收减免、财政补贴等支持。 </w:t>
      </w:r>
    </w:p>
    <w:p w14:paraId="22BB7A33">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4" w:name="_Toc803"/>
      <w:r>
        <w:rPr>
          <w:rFonts w:hint="eastAsia" w:ascii="仿宋_GB2312" w:hAnsi="仿宋_GB2312" w:eastAsia="仿宋_GB2312" w:cs="仿宋_GB2312"/>
          <w:sz w:val="28"/>
          <w:szCs w:val="28"/>
        </w:rPr>
        <w:t>5. 建立教育资源共建共享机制</w:t>
      </w:r>
      <w:bookmarkEnd w:id="94"/>
    </w:p>
    <w:p w14:paraId="34BFECA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搭建区域教育资源共享平台：依托数字化技术，建设海口经济圈教育资源共享平台，整合澄迈、海口等地的优质课程、教学课件、科研成果、师资培训等资源，向澄迈所有学校免费开放。开通线上名师课堂，组织海口名师为澄迈偏远地区学校开展远程教学、答疑辅导，弥补优质师资不足的短板。 </w:t>
      </w:r>
    </w:p>
    <w:p w14:paraId="3618C06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进招生与考试协同：积极争取海口经济圈义务教育阶段招生协同政策，允许澄迈户籍学生在符合条件的情况下，跨区域就读海口优质学校；推动澄迈与海口中考、高考模拟考试统一命题、统一评价，促进教学质量同步提升。建立教育质量监测联动机制，定期开展跨区域教育质量评估，共享评估结果与改进建议。</w:t>
      </w:r>
    </w:p>
    <w:p w14:paraId="793F01E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B6A4DF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4E6864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D070A8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133407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4FD1FA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DFF8C2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D151489">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95" w:name="_Toc7720"/>
      <w:r>
        <w:rPr>
          <w:rFonts w:hint="eastAsia" w:ascii="楷体_GB2312" w:hAnsi="楷体_GB2312" w:eastAsia="楷体_GB2312" w:cs="楷体_GB2312"/>
          <w:sz w:val="28"/>
          <w:szCs w:val="28"/>
          <w:lang w:val="en-US" w:eastAsia="zh-CN"/>
        </w:rPr>
        <w:t>二十一</w:t>
      </w:r>
      <w:r>
        <w:rPr>
          <w:rFonts w:hint="eastAsia" w:ascii="楷体_GB2312" w:hAnsi="楷体_GB2312" w:eastAsia="楷体_GB2312" w:cs="楷体_GB2312"/>
          <w:sz w:val="28"/>
          <w:szCs w:val="28"/>
        </w:rPr>
        <w:t>、澄迈农村居民收入增速高于城镇的可持续性如何保障</w:t>
      </w:r>
      <w:bookmarkEnd w:id="95"/>
    </w:p>
    <w:p w14:paraId="19B82C7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217F3F1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近年来，澄迈始终重视 “三农” 工作，通过发展特色农业、农村电商、乡村旅游等产业，推动农村居民收入快速增长。2021-2024 年，澄迈农村居民人均可支配收入年均增速达 8.3%，城镇常住居民人均可支配收入年均增速为 6.1%，农村居民收入增速连续四年高于城镇，城乡收入比从 2.3:1 缩小至 2.1:1，城乡收入差距持续缩小。这一成果的取得，主要得益于国家乡村振兴战略的实施、农业产业结构优化、农村基础设施改善及各项惠农政策的落地。</w:t>
      </w:r>
    </w:p>
    <w:p w14:paraId="6259675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但当前澄迈农村居民收入增长仍面临诸多不确定性因素：农村产业同质化严重、产业链条短、附加值低；农村劳动力老龄化加剧，青壮年劳动力外流；农业抗风险能力弱，受自然灾害、市场波动影响较大；农村电商、乡村旅游等新业态发展不充分，带动增收效应有限；农村公共服务与城镇仍有差距，制约农村居民收入持续增长。在海南自贸港建设背景下，如何巩固农村居民收入增速高于城镇的良好态势，增强增长的可持续性，是澄迈实现城乡协调发展、全面推进乡村振兴的关键课题。</w:t>
      </w:r>
    </w:p>
    <w:p w14:paraId="6A185FC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5246CC7A">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6" w:name="_Toc10842"/>
      <w:r>
        <w:rPr>
          <w:rFonts w:hint="eastAsia" w:ascii="仿宋_GB2312" w:hAnsi="仿宋_GB2312" w:eastAsia="仿宋_GB2312" w:cs="仿宋_GB2312"/>
          <w:sz w:val="28"/>
          <w:szCs w:val="28"/>
        </w:rPr>
        <w:t>1. 深化农村产业提质增效，拓宽增收渠道</w:t>
      </w:r>
      <w:bookmarkEnd w:id="96"/>
    </w:p>
    <w:p w14:paraId="77C64AF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推动特色农业规模化、品牌化发展：聚焦澄迈福橙、桥头地瓜、无核荔枝等特色农产品，建设标准化种植基地，推广绿色种植技术，提升产品品质。加强 “澄迈福橙”“桥头地瓜” 等区域公共品牌建设，统一品牌标识、包装设计、质量标准，通过自贸港政策拓展国内外市场，推动农产品溢价销售。2025-2027 年，新增标准化种植基地 10 个，特色农产品品牌溢价率提升至 30% 以上。 </w:t>
      </w:r>
    </w:p>
    <w:p w14:paraId="63E4CE7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延长农业产业链条，提升附加值：培育壮大农产品加工企业，支持企业建设农产品精深加工生产线，开发果脯、果汁、地瓜干、预制菜等产品，推动农业从 “初级生产” 向 “加工增值” 转型。建设农产品冷链物流体系，依托马村港及农村电商物流站点，完善 “产地预冷 - 仓储物流 - 终端配送” 全链条，降低农产品损耗率，延长销售周期。2027 年前，培育市级以上农业产业化龙头企业 15 家，农产品加工转化率提升至 60%。 </w:t>
      </w:r>
    </w:p>
    <w:p w14:paraId="4DDEB34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发展乡村新业态，培育增收新动能：依托澄迈生态资源和农业基础，发展休闲农业、乡村旅游、农耕体验等业态，打造一批乡村旅游示范点、农耕研学基地。推动农村电商提质升级，建设农村电商服务中心，开展电商技能培训，支持农民直播带货，拓宽农产品销售渠道。2025-2027 年，新增乡村旅游示范点 8 个，农村电商交易额年均增长 20% 以上。 </w:t>
      </w:r>
    </w:p>
    <w:p w14:paraId="50E928B7">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7" w:name="_Toc26164"/>
      <w:r>
        <w:rPr>
          <w:rFonts w:hint="eastAsia" w:ascii="仿宋_GB2312" w:hAnsi="仿宋_GB2312" w:eastAsia="仿宋_GB2312" w:cs="仿宋_GB2312"/>
          <w:sz w:val="28"/>
          <w:szCs w:val="28"/>
        </w:rPr>
        <w:t>2. 强化农村劳动力培育，提升增收能力</w:t>
      </w:r>
      <w:bookmarkEnd w:id="97"/>
    </w:p>
    <w:p w14:paraId="38C7E92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开展技能培训与就业帮扶：针对农村劳动力特点，开展农产品种植养殖、农产品加工、电商运营、乡村旅游服务等技能培训，每年培训不少于 2000 人次，提升劳动力专业技能。依托海口经济圈就业资源，搭建农村劳动力就业对接平台，组织农村劳动力到海口及澄迈本地企业就业，优先推荐青壮年劳动力参与油气产业园、数字产业园建设相关工作，增加工资性收入。 </w:t>
      </w:r>
    </w:p>
    <w:p w14:paraId="398E642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吸引青壮年劳动力返乡创业就业：出台返乡创业扶持政策，对返乡创业的农村劳动力给予最高 50 万元的创业担保贷款、3 年场地租金减免，重点支持返乡青年发展特色农业、农村电商、乡村旅游等项目。完善农村创业服务体系，提供创业指导、市场对接、政策咨询等服务，降低创业风险。2027 年前，吸引返乡创业青年 500 人以上，带动就业 2000 人。 </w:t>
      </w:r>
    </w:p>
    <w:p w14:paraId="366B871F">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8" w:name="_Toc26825"/>
      <w:r>
        <w:rPr>
          <w:rFonts w:hint="eastAsia" w:ascii="仿宋_GB2312" w:hAnsi="仿宋_GB2312" w:eastAsia="仿宋_GB2312" w:cs="仿宋_GB2312"/>
          <w:sz w:val="28"/>
          <w:szCs w:val="28"/>
        </w:rPr>
        <w:t>3. 完善农业支持保护体系，降低增收风险</w:t>
      </w:r>
      <w:bookmarkEnd w:id="98"/>
    </w:p>
    <w:p w14:paraId="4886F98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强化农业基础设施建设：加大对农村水利、道路、电力、通信等基础设施投入，改善农业生产条件。建设高标准农田，推广节水灌溉、智慧农业等技术，提升农业抗灾能力和生产效率。2025-2027 年，新建高标准农田 5 万亩，农村自来水普及率提升至 98% 以上。 </w:t>
      </w:r>
    </w:p>
    <w:p w14:paraId="01CAB79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健全农业风险防控机制：扩大农业保险覆盖面，将澄迈特色农产品全部纳入农业保险保障范围，提高保险赔付标准，降低自然灾害、市场波动对农民收入的影响。建立农产品价格监测与预警机制，及时发布市场供求信息，引导农民合理调整种植结构。设立农业产业风险补偿基金，对因市场价格大幅下跌遭受损失的农民给予适当补贴。 </w:t>
      </w:r>
    </w:p>
    <w:p w14:paraId="62C59A6E">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99" w:name="_Toc30802"/>
      <w:r>
        <w:rPr>
          <w:rFonts w:hint="eastAsia" w:ascii="仿宋_GB2312" w:hAnsi="仿宋_GB2312" w:eastAsia="仿宋_GB2312" w:cs="仿宋_GB2312"/>
          <w:sz w:val="28"/>
          <w:szCs w:val="28"/>
        </w:rPr>
        <w:t>4. 深化农村改革，释放增收潜力</w:t>
      </w:r>
      <w:bookmarkEnd w:id="99"/>
    </w:p>
    <w:p w14:paraId="54A96D6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盘活农村土地资源：稳慎推进农村宅基地制度改革，探索宅基地 “三权分置” 实现形式，允许宅基地使用权依法自愿有偿转让、出租。规范农村土地流转，建立土地流转服务平台，鼓励农民通过土地入股、流转等方式获得财产性收入。2027 年前，农村土地流转率提升至 40% 以上。 </w:t>
      </w:r>
    </w:p>
    <w:p w14:paraId="0F22320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发展新型农村集体经济：支持村集体通过盘活闲置厂房、校舍、土地等资源，发展乡村旅游、农产品加工、仓储物流等产业，增加集体经营性收入。鼓励村集体与企业合作共建产业项目，农民按股份获得分红，实现 “资源变资产、农民变股东”。2027 年前，实现行政村集体经济年收入均超 10 万元。 </w:t>
      </w:r>
    </w:p>
    <w:p w14:paraId="207792AD">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00" w:name="_Toc5838"/>
      <w:r>
        <w:rPr>
          <w:rFonts w:hint="eastAsia" w:ascii="仿宋_GB2312" w:hAnsi="仿宋_GB2312" w:eastAsia="仿宋_GB2312" w:cs="仿宋_GB2312"/>
          <w:sz w:val="28"/>
          <w:szCs w:val="28"/>
        </w:rPr>
        <w:t>5. 优化农村公共服务，夯实增收基础</w:t>
      </w:r>
      <w:bookmarkEnd w:id="100"/>
    </w:p>
    <w:p w14:paraId="28471EA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提升农村教育、医疗水平：加大对农村学校的投入，改善办学条件，引进优质师资，缩小城乡教育差距，让农村孩子享受优质教育资源，增强未来增收潜力。完善农村医疗卫生服务体系，升级乡镇卫生院、村卫生室设施，提高农村居民医疗保障水平，减少因病致贫、因病返贫现象。 </w:t>
      </w:r>
    </w:p>
    <w:p w14:paraId="717D739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农村社会保障体系：提高农村居民养老保险、医疗保险缴费补贴标准，扩大保障覆盖面，提升保障水平。建立农村低保、特困人员救助供养标准动态调整机制，确保农村困难群众基本生活得到保障。推进城乡公共服务一体化，让农村居民在就业、养老、医疗等方面享受与城镇居民同等的待遇。</w:t>
      </w:r>
    </w:p>
    <w:p w14:paraId="1BEB513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57B755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A38EAE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E289C6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9DD754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C1BD2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8C08F32">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101" w:name="_Toc23362"/>
      <w:r>
        <w:rPr>
          <w:rFonts w:hint="eastAsia" w:ascii="楷体_GB2312" w:hAnsi="楷体_GB2312" w:eastAsia="楷体_GB2312" w:cs="楷体_GB2312"/>
          <w:sz w:val="28"/>
          <w:szCs w:val="28"/>
          <w:lang w:val="en-US" w:eastAsia="zh-CN"/>
        </w:rPr>
        <w:t>二十二</w:t>
      </w:r>
      <w:r>
        <w:rPr>
          <w:rFonts w:hint="eastAsia" w:ascii="楷体_GB2312" w:hAnsi="楷体_GB2312" w:eastAsia="楷体_GB2312" w:cs="楷体_GB2312"/>
          <w:sz w:val="28"/>
          <w:szCs w:val="28"/>
        </w:rPr>
        <w:t>、澄迈如何防范数字经济发展中的数据安全风险</w:t>
      </w:r>
      <w:bookmarkEnd w:id="101"/>
    </w:p>
    <w:p w14:paraId="2FCA358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549977D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随着海南自贸港数字经济快速发展，澄迈正加速推进数字产业园建设、跨境数字服务集聚、农业数字化转型等工作，数据作为核心生产要素，在产业发展中的作用日益凸显。当前澄迈已初步形成涉及政务数据、企业经营数据、个人信息数据、产业数据（如油气产业数据、农业数据）的多类型数据资源体系，但数据安全风险防控体系尚未健全。</w:t>
      </w:r>
    </w:p>
    <w:p w14:paraId="2088F70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数字经济发展面临的数据安全风险主要包括：数据收集环节存在过度收集、违规收集个人信息问题；数据存储环节缺乏安全防护设施，面临黑客攻击、数据泄露风险；数据传输环节因跨境数据流动增多，存在数据出境合规风险；数据使用环节存在滥用、篡改数据等问题；数据安全管理人才短缺，企业数据安全意识薄弱；缺乏专业的数据安全评估、应急处置机构。这些风险不仅可能导致企业商业秘密泄露、个人权益受损，还可能影响澄迈数字经济产业的健康发展，甚至危及自贸港数据安全。</w:t>
      </w:r>
    </w:p>
    <w:p w14:paraId="5D6D4E5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海南自由贸易港数据安全条例》《个人信息保护法》等法律法规框架下，澄迈作为自贸港数字经济发展的重要节点，亟需建立健全数据安全风险防控体系，防范化解各类数据安全风险，为数字经济高质量发展提供安全保障，同时助力自贸港打造安全有序的数据流动环境。</w:t>
      </w:r>
    </w:p>
    <w:p w14:paraId="4CE5E1D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4003EC9C">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02" w:name="_Toc22685"/>
      <w:r>
        <w:rPr>
          <w:rFonts w:hint="eastAsia" w:ascii="仿宋_GB2312" w:hAnsi="仿宋_GB2312" w:eastAsia="仿宋_GB2312" w:cs="仿宋_GB2312"/>
          <w:sz w:val="28"/>
          <w:szCs w:val="28"/>
        </w:rPr>
        <w:t>1. 健全数据安全管理制度与法规体系</w:t>
      </w:r>
      <w:bookmarkEnd w:id="102"/>
    </w:p>
    <w:p w14:paraId="1CE7F2C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制定澄迈数据安全管理实施细则：依据《海南自由贸易港数据安全条例》，结合澄迈数字经济发展实际，制定《澄迈县数据安全管理实施细则》，明确数据处理者的安全责任、数据分类分级标准、安全评估流程、应急处置要求等，使数据安全管理有章可循。针对政务数据、企业数据、个人信息、跨境数据等不同类型数据，制定差异化的安全管理规范，强化重点领域数据安全保护。 </w:t>
      </w:r>
    </w:p>
    <w:p w14:paraId="6010D47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数据安全责任制：明确数据处理企业的主体责任，要求企业设立数据安全管理岗位，配备专职数据安全管理人员，制定数据安全管理制度和操作规程。建立数据安全责任追究机制，对未履行数据安全义务导致数据泄露、滥用的企业和个人，依法追究责任。将数据安全纳入企业信用评价体系，对数据安全失信企业实施联合惩戒。 </w:t>
      </w:r>
    </w:p>
    <w:p w14:paraId="742A1F24">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03" w:name="_Toc16660"/>
      <w:r>
        <w:rPr>
          <w:rFonts w:hint="eastAsia" w:ascii="仿宋_GB2312" w:hAnsi="仿宋_GB2312" w:eastAsia="仿宋_GB2312" w:cs="仿宋_GB2312"/>
          <w:sz w:val="28"/>
          <w:szCs w:val="28"/>
        </w:rPr>
        <w:t>2. 强化数据全生命周期安全防护</w:t>
      </w:r>
      <w:bookmarkEnd w:id="103"/>
    </w:p>
    <w:p w14:paraId="3D19EA8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数据收集环节：规范数据收集行为，要求数据处理企业遵循 “合法、正当、必要” 原则，不得过度收集、违规收集个人信息和企业数据。推行数据收集告知同意制度，明确告知数据收集的目的、范围、使用方式等，保障个人和企业的知情权、选择权。加强对 APP、小程序等数据收集载体的监管，定期开展专项整治，查处违规收集数据行为。 </w:t>
      </w:r>
    </w:p>
    <w:p w14:paraId="4FCE54D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数据存储环节：推动企业采用安全可靠的存储技术和设备，加强数据存储加密、访问控制、安全审计等防护措施。对涉及敏感数据（如个人生物信息、企业核心商业数据）的企业，要求采用本地存储或符合安全标准的云存储服务，定期开展数据安全备份和恢复测试。建设澄迈数据安全存储示范基地，为中小企业提供安全、低成本的存储服务。 </w:t>
      </w:r>
    </w:p>
    <w:p w14:paraId="7073E50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数据传输环节：规范数据跨境传输行为，对需要出境的数据，要求企业按照自贸港数据跨境流动相关规定，完成安全评估或备案手续。鼓励企业采用加密传输、安全通道等技术手段，保障数据传输过程中的安全性、完整性。加强对跨境数据传输的实时监测，防范数据传输过程中的泄露、篡改风险。 </w:t>
      </w:r>
    </w:p>
    <w:p w14:paraId="588FF51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数据使用环节：建立数据使用授权机制，明确数据使用的范围、权限和期限，禁止超授权使用数据。加强对数据共享、数据交易的监管，规范数据共享流程，建立数据交易安全审查机制，防范数据滥用、非法交易等风险。鼓励企业采用数据脱敏、匿名化等技术，在保障数据安全的前提下，发挥数据价值。 </w:t>
      </w:r>
    </w:p>
    <w:p w14:paraId="4946E573">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04" w:name="_Toc25611"/>
      <w:r>
        <w:rPr>
          <w:rFonts w:hint="eastAsia" w:ascii="仿宋_GB2312" w:hAnsi="仿宋_GB2312" w:eastAsia="仿宋_GB2312" w:cs="仿宋_GB2312"/>
          <w:sz w:val="28"/>
          <w:szCs w:val="28"/>
        </w:rPr>
        <w:t>3. 搭建数据安全技术支撑与监管平台</w:t>
      </w:r>
      <w:bookmarkEnd w:id="104"/>
    </w:p>
    <w:p w14:paraId="68A1B19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设数据安全监测预警平台：依托自贸港数字基础设施，建设澄迈数据安全监测预警平台，整合政务数据、企业数据、跨境数据等各类数据资源的安全监测数据，运用人工智能、大数据分析等技术，实现数据安全风险实时监测、智能预警、快速响应。平台与省级数据安全监测平台对接，形成上下联动的监测体系。 </w:t>
      </w:r>
    </w:p>
    <w:p w14:paraId="631E70B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引入数据安全技术服务机构：吸引国内外知名数据安全企业入驻澄迈，提供数据安全评估、安全检测、安全加固、应急响应等技术服务。支持本地企业与数据安全技术服务商合作，提升自身数据安全防护能力。建立数据安全技术服务目录，为企业选择安全服务提供参考。 </w:t>
      </w:r>
    </w:p>
    <w:p w14:paraId="7826FF5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政务数据安全防护：升级政务数据中心安全设施，采用防火墙、入侵检测、数据加密等技术，保障政务数据安全。建立政务数据共享安全管理制度，明确政务数据共享的安全要求和责任划分，防范政务数据泄露风险。定期开展政务数据安全应急演练，提升应急处置能力。 </w:t>
      </w:r>
    </w:p>
    <w:p w14:paraId="28C85329">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05" w:name="_Toc11330"/>
      <w:r>
        <w:rPr>
          <w:rFonts w:hint="eastAsia" w:ascii="仿宋_GB2312" w:hAnsi="仿宋_GB2312" w:eastAsia="仿宋_GB2312" w:cs="仿宋_GB2312"/>
          <w:sz w:val="28"/>
          <w:szCs w:val="28"/>
        </w:rPr>
        <w:t>4. 加强数据安全监管与执法力度</w:t>
      </w:r>
      <w:bookmarkEnd w:id="105"/>
    </w:p>
    <w:p w14:paraId="5040054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建立常态化监管机制：组建澄迈数据安全监管专班，整合网信、公安、市场监管等部门职能，开展常态化数据安全监管检查。针对数字产业园、跨境数字服务企业、电商平台等重点领域，每年开展不少于 2 次专项检查，重点排查数据收集、存储、传输、使用等环节的安全隐患。 </w:t>
      </w:r>
    </w:p>
    <w:p w14:paraId="334CC73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严格数据安全执法：对检查中发现的违规收集、泄露、滥用数据等行为，依法予以处罚；对涉嫌犯罪的，移交司法机关处理。建立数据安全违法违规行为公示制度，曝光典型案例，形成震慑效应。畅通数据安全举报渠道，鼓励公众举报数据安全违法违规行为，对举报属实的给予奖励。 </w:t>
      </w:r>
    </w:p>
    <w:p w14:paraId="5BD32FE0">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06" w:name="_Toc11702"/>
      <w:r>
        <w:rPr>
          <w:rFonts w:hint="eastAsia" w:ascii="仿宋_GB2312" w:hAnsi="仿宋_GB2312" w:eastAsia="仿宋_GB2312" w:cs="仿宋_GB2312"/>
          <w:sz w:val="28"/>
          <w:szCs w:val="28"/>
        </w:rPr>
        <w:t>5. 强化数据安全人才培养与意识提升</w:t>
      </w:r>
      <w:bookmarkEnd w:id="106"/>
    </w:p>
    <w:p w14:paraId="3D135D8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培养和引进数据安全人才：与国内高校、职业院校合作，开设数据安全相关专业，定向培养数据安全技术、管理人才。制定数据安全人才引进政策，对引进的高端数据安全人才给予安家补贴、生活补贴等支持，吸引人才集聚。定期组织数据安全人才培训，提升现有从业人员的专业能力。 </w:t>
      </w:r>
    </w:p>
    <w:p w14:paraId="07D1327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提升企业和公众数据安全意识：开展数据安全宣传教育活动，通过线上线下相结合的方式，向企业和公众普及数据安全法律法规、安全防护知识。组织企业负责人、数据安全管理人员参加数据安全培训，提升企业数据安全管理水平。发布数据安全风险提示，引导公众提高个人信息保护意识，防范个人信息泄露风险。 </w:t>
      </w:r>
    </w:p>
    <w:p w14:paraId="72DE2543">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07" w:name="_Toc4797"/>
      <w:r>
        <w:rPr>
          <w:rFonts w:hint="eastAsia" w:ascii="仿宋_GB2312" w:hAnsi="仿宋_GB2312" w:eastAsia="仿宋_GB2312" w:cs="仿宋_GB2312"/>
          <w:sz w:val="28"/>
          <w:szCs w:val="28"/>
        </w:rPr>
        <w:t>6. 建立数据安全应急处置与协同机制</w:t>
      </w:r>
      <w:bookmarkEnd w:id="107"/>
    </w:p>
    <w:p w14:paraId="5003340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制定数据安全应急预案：针对数据泄露、黑客攻击、数据篡改等突发事件，制定澄迈数据安全应急预案，明确应急响应流程、责任分工、处置措施等。定期组织数据安全应急演练，检验应急预案的可行性和有效性，提升应急处置能力。 </w:t>
      </w:r>
    </w:p>
    <w:p w14:paraId="1788E8D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跨部门、跨区域协同机制：加强与海口、海南省级数据安全监管部门的协同配合，建立数据安全信息共享、联合执法、应急联动机制。推动企业之间建立数据安全协同防护机制，共享安全威胁信息，共同防范跨境数据安全风险。加强与数据安全行业协会、科研机构的合作，借助外部力量提升数据安全风险防控水平。</w:t>
      </w:r>
    </w:p>
    <w:p w14:paraId="2BCC8F4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9B444F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43FB3DB">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108" w:name="_Toc116"/>
      <w:r>
        <w:rPr>
          <w:rFonts w:hint="eastAsia" w:ascii="楷体_GB2312" w:hAnsi="楷体_GB2312" w:eastAsia="楷体_GB2312" w:cs="楷体_GB2312"/>
          <w:sz w:val="28"/>
          <w:szCs w:val="28"/>
          <w:lang w:val="en-US" w:eastAsia="zh-CN"/>
        </w:rPr>
        <w:t>二十三</w:t>
      </w:r>
      <w:r>
        <w:rPr>
          <w:rFonts w:hint="eastAsia" w:ascii="楷体_GB2312" w:hAnsi="楷体_GB2312" w:eastAsia="楷体_GB2312" w:cs="楷体_GB2312"/>
          <w:sz w:val="28"/>
          <w:szCs w:val="28"/>
        </w:rPr>
        <w:t>、马村港如何与洋浦港协同发展，避免重复建设</w:t>
      </w:r>
      <w:bookmarkEnd w:id="108"/>
    </w:p>
    <w:p w14:paraId="1E70F5E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3C70818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马村港位于澄迈县，是海南北部重要的综合性港口，具备油气化工、散货运输、集装箱支线运输、冷链物流等功能；洋浦港作为海南自贸港核心港口，是西部陆海新通道国际航运枢纽，在油气加工、保税物流、国际集装箱运输、大宗商品交易等领域具有显著优势。两港直线距离约 50 公里，均处于海南北部 - 西部港口布局的关键节点，承担着服务自贸港产业发展、对外贸易的重要职能。</w:t>
      </w:r>
    </w:p>
    <w:p w14:paraId="3F90A65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前，马村港与洋浦港在油气服务、散货运输、保税物流等领域存在一定的功能重叠，存在重复建设的潜在风险：马村港油气产业园与洋浦油气化工园区在部分配套服务上存在同质化；两港均在推进冷链物流设施建设；集装箱运输航线资源分散，未能形成合力。这种状况不仅导致资源浪费、运营效率低下，还不利于海南自贸港港口体系整体竞争力的提升。</w:t>
      </w:r>
    </w:p>
    <w:p w14:paraId="733F11A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在海南自贸港 “全省一盘棋” 的发展理念下，推动马村港与洋浦港协同发展，明确功能定位、优化资源配置、避免重复建设，对提升海南港口群整体效能、服务自贸港产业发展、打造西部陆海新通道国际航运枢纽具有重要意义。两港需依托各自优势，形成 “分工明确、优势互补、协同高效” 的发展格局。</w:t>
      </w:r>
    </w:p>
    <w:p w14:paraId="5F72174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235D3D15">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09" w:name="_Toc5660"/>
      <w:r>
        <w:rPr>
          <w:rFonts w:hint="eastAsia" w:ascii="仿宋_GB2312" w:hAnsi="仿宋_GB2312" w:eastAsia="仿宋_GB2312" w:cs="仿宋_GB2312"/>
          <w:sz w:val="28"/>
          <w:szCs w:val="28"/>
        </w:rPr>
        <w:t>1. 明确两港功能定位，实现差异化发展</w:t>
      </w:r>
      <w:bookmarkEnd w:id="109"/>
    </w:p>
    <w:p w14:paraId="5EBB89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洋浦港：聚焦自贸港核心港口功能，重点发展国际集装箱干线运输、油气加工贸易、保税物流、大宗商品交易、国际航运服务等高端业态，打造西部陆海新通道国际航运枢纽、油气产业核心基地、保税物流中心。依托洋浦经济开发区、保税港区政策优势，重点吸引大型航运企业、油气巨头、国际物流企业集聚，提升港口国际化水平和产业带动能力。 </w:t>
      </w:r>
    </w:p>
    <w:p w14:paraId="67A3CD3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马村港：依托澄迈油气服务产业园、现代农业产业基础，重点发展油气服务配套（如设备维修、仓储物流、技术服务）、散货支线运输、冷链物流（农产品、水产品冷链）、临港加工（农产品加工、轻工产品加工）等业态，打造洋浦港的配套服务港、海南北部散货运输枢纽、农产品冷链物流基地。重点承接洋浦港辐射，为洋浦油气产业提供配套服务，为海口经济圈提供港口物流支撑。 </w:t>
      </w:r>
    </w:p>
    <w:p w14:paraId="52E0DCD4">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10" w:name="_Toc22829"/>
      <w:r>
        <w:rPr>
          <w:rFonts w:hint="eastAsia" w:ascii="仿宋_GB2312" w:hAnsi="仿宋_GB2312" w:eastAsia="仿宋_GB2312" w:cs="仿宋_GB2312"/>
          <w:sz w:val="28"/>
          <w:szCs w:val="28"/>
        </w:rPr>
        <w:t>2. 优化港口资源配置，避免重复建设</w:t>
      </w:r>
      <w:bookmarkEnd w:id="110"/>
    </w:p>
    <w:p w14:paraId="29C84F2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统筹基础设施建设：建立两港基础设施建设协调机制，由省级层面统筹规划港口码头、航道、仓储物流等设施建设，避免同类设施重复投资。例如，洋浦港重点建设深水集装箱码头、大型油气储罐设施；马村港重点升级散货码头、冷链仓储设施，不再新建深水集装箱码头和大型油气加工设施。共享港口公共基础设施，如航道、锚地、引航服务等，降低运营成本。 </w:t>
      </w:r>
    </w:p>
    <w:p w14:paraId="7D9AC39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整合航线与物流资源：推动两港航线资源整合，洋浦港重点开辟国际集装箱干线航线，马村港重点发展国内支线运输、沿海散货运输，与洋浦港形成 “干线 + 支线” 联动格局。整合两港物流资源，建立物流信息共享平台，实现货物运输、仓储、配送等信息互联互通，提高物流效率。鼓励物流企业在两港设立区域总部或分拨中心，实现资源共享、协同运作。 </w:t>
      </w:r>
    </w:p>
    <w:p w14:paraId="724B0AC9">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11" w:name="_Toc25234"/>
      <w:r>
        <w:rPr>
          <w:rFonts w:hint="eastAsia" w:ascii="仿宋_GB2312" w:hAnsi="仿宋_GB2312" w:eastAsia="仿宋_GB2312" w:cs="仿宋_GB2312"/>
          <w:sz w:val="28"/>
          <w:szCs w:val="28"/>
        </w:rPr>
        <w:t>3. 强化产业协同联动，形成发展合力</w:t>
      </w:r>
      <w:bookmarkEnd w:id="111"/>
    </w:p>
    <w:p w14:paraId="1E92BAA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油气产业协同：洋浦港重点发展油气勘探开发、炼化加工、国际贸易等上游和核心环节；马村港重点发展油气设备维修、钻采服务、仓储物流、技术研发等配套服务环节，形成 “洋浦炼化 + 马村服务” 的油气产业协同格局。推动洋浦油气企业与马村港油气服务企业建立合作关系，为洋浦油气产业提供本地化配套服务，降低产业成本。 </w:t>
      </w:r>
    </w:p>
    <w:p w14:paraId="52A7DCE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冷链物流协同：洋浦港重点发展国际冷链物流、保税冷链仓储；马村港重点发展国内农产品、水产品冷链运输、区域分拨配送，与洋浦港形成 “国际 + 国内” 冷链物流协同体系。整合两港冷链物流设施资源，共享冷链运输车辆、仓储空间，建立统一的冷链物流标准和质量追溯体系，提升海南冷链物流整体水平。 </w:t>
      </w:r>
    </w:p>
    <w:p w14:paraId="507450F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临港产业协同：洋浦港重点发展高端临港工业、国际贸易、航运金融等产业；马村港重点发展农产品加工、轻工制造、临港服务业等产业，与洋浦港形成产业互补。推动两港临港产业园区合作，建立产业转移机制，洋浦港将部分劳动密集型、配套型产业转移至马村港，马村港为洋浦港提供产业配套支撑。 </w:t>
      </w:r>
    </w:p>
    <w:p w14:paraId="349DBF48">
      <w:pPr>
        <w:keepNext w:val="0"/>
        <w:keepLines w:val="0"/>
        <w:pageBreakBefore w:val="0"/>
        <w:kinsoku/>
        <w:wordWrap/>
        <w:overflowPunct/>
        <w:topLinePunct w:val="0"/>
        <w:autoSpaceDE/>
        <w:autoSpaceDN/>
        <w:bidi w:val="0"/>
        <w:adjustRightInd/>
        <w:snapToGrid/>
        <w:textAlignment w:val="auto"/>
        <w:outlineLvl w:val="0"/>
        <w:rPr>
          <w:rFonts w:hint="eastAsia" w:ascii="仿宋_GB2312" w:hAnsi="仿宋_GB2312" w:eastAsia="仿宋_GB2312" w:cs="仿宋_GB2312"/>
          <w:sz w:val="28"/>
          <w:szCs w:val="28"/>
        </w:rPr>
      </w:pPr>
      <w:bookmarkStart w:id="112" w:name="_Toc29321"/>
      <w:r>
        <w:rPr>
          <w:rFonts w:hint="eastAsia" w:ascii="仿宋_GB2312" w:hAnsi="仿宋_GB2312" w:eastAsia="仿宋_GB2312" w:cs="仿宋_GB2312"/>
          <w:sz w:val="28"/>
          <w:szCs w:val="28"/>
        </w:rPr>
        <w:t>4. 建立协同发展机制，保障合作落地</w:t>
      </w:r>
      <w:bookmarkEnd w:id="112"/>
    </w:p>
    <w:p w14:paraId="49F816F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建立省级统筹协调机制：由海南省发改委、交通运输厅牵头，成立马村港 - 洋浦港协同发展领导小组，定期召开协调会议，解决两港协同发展中的重大问题。制定两港协同发展规划和实施方案，明确协同发展目标、重点任务和时间节点，引导两港有序发展。 </w:t>
      </w:r>
    </w:p>
    <w:p w14:paraId="6AE9B59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跨区域利益共享机制：建立两港税收分成、产值统计共享等利益共享机制，对两港协同发展项目产生的税收，按照一定比例在澄迈和洋浦之间进行分成，调动两地协同发展的积极性。鼓励两港企业相互投资、参股合作，共同开发项目，共享发展收益。 </w:t>
      </w:r>
    </w:p>
    <w:p w14:paraId="37906C3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基础设施互联互通：加快推进马村港与洋浦港之间的交通基础设施建设，完善高速公路、铁路运输通道，缩短两港物流运输时间。推进两港信息基础设施互联互通，建立统一的港口信息平台、物流信息平台、通关服务平台，实现数据共享、业务协同，提升通关效率和服务水平。</w:t>
      </w:r>
    </w:p>
    <w:p w14:paraId="121D8FE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CFBB5F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5CA7D3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543ED3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011FE8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C702FB9">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113" w:name="_Toc4702"/>
      <w:r>
        <w:rPr>
          <w:rFonts w:hint="eastAsia" w:ascii="楷体_GB2312" w:hAnsi="楷体_GB2312" w:eastAsia="楷体_GB2312" w:cs="楷体_GB2312"/>
          <w:sz w:val="28"/>
          <w:szCs w:val="28"/>
          <w:lang w:val="en-US" w:eastAsia="zh-CN"/>
        </w:rPr>
        <w:t>二十四</w:t>
      </w:r>
      <w:r>
        <w:rPr>
          <w:rFonts w:hint="eastAsia" w:ascii="楷体_GB2312" w:hAnsi="楷体_GB2312" w:eastAsia="楷体_GB2312" w:cs="楷体_GB2312"/>
          <w:sz w:val="28"/>
          <w:szCs w:val="28"/>
        </w:rPr>
        <w:t>、澄迈热带农业品牌如何拓展东南亚市场，提升国际竞争力？</w:t>
      </w:r>
      <w:bookmarkEnd w:id="113"/>
    </w:p>
    <w:p w14:paraId="10AD4AF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59B0D6B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澄迈作为海南热带农业核心产区，拥有富硒地瓜、无核荔枝、福橙等特色农产品，2024 年热带农业总产值突破 80 亿元，农产品出口额超 3 亿元，其中东南亚市场占比达 65%。当前，澄迈热带农业品牌已具备一定基础：“澄迈富硒地瓜” 获国家地理标志产品认证，年出口量超 1.2 万吨；无核荔枝通过 RCEP 关税减免政策进入越南、泰国等市场。但拓展东南亚市场仍面临多重瓶颈：品牌国际知名度低，缺乏区域性公共品牌背书；物流体系滞后，冷链运输成本占出口总成本的 35%，远超国际平均水平；产品标准化不足，部分农产品农残检测标准与东南亚国家（如新加坡、马来西亚）存在差异；销售渠道单一，主要依赖边境贸易和小型经销商，缺乏直接对接当地商超、电商平台的稳定渠道；应对贸易壁垒能力弱，频繁遭遇技术性贸易壁垒和反倾销调查。</w:t>
      </w:r>
    </w:p>
    <w:p w14:paraId="1395D9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东南亚市场人口超 6.7 亿，热带水果、蔬菜年进口需求达 200 亿美元，且对富硒、有机等高品质农产品需求逐年增长。在 RCEP 框架下，海南与东南亚国家农产品关税逐步降至零，为澄迈热带农业品牌出海提供政策红利。澄迈需依托自身资源优势和自贸港政策便利，破解当前瓶颈，构建 “品牌塑造 - 渠道拓展 - 标准对接 - 物流升级” 的全链条体系，提升在东南亚市场的竞争力，打造海南热带农业出口标杆。</w:t>
      </w:r>
    </w:p>
    <w:p w14:paraId="39EBC2E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0D25D57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构建国际化品牌体系，强化品牌认知 </w:t>
      </w:r>
    </w:p>
    <w:p w14:paraId="68FB38B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打造区域公共品牌矩阵：整合 “澄迈富硒地瓜”“澄迈福橙” 等单一产品品牌，推出 “澄迈热带臻品” 区域公共品牌，统一品牌标识、包装设计和宣传口径。联合海南自贸港国际品牌推广中心，在曼谷、吉隆坡、胡志明市举办 “澄迈热带农业品牌推介会”，每年不少于 2 场，重点展示富硒、有机、绿色等核心卖点。 </w:t>
      </w:r>
    </w:p>
    <w:p w14:paraId="7906AFC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借力权威认证背书：推动特色农产品申请欧盟有机认证、新加坡 SGSA 认证等国际权威认证，2026 年前实现 3-5 个核心产品认证全覆盖。依托 RCEP 原产地规则，优化产品溯源体系，接入海南自贸港农产品溯源平台，实现 “从田间到餐桌” 全程可追溯，增强消费者信任。 </w:t>
      </w:r>
    </w:p>
    <w:p w14:paraId="3B5F511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深化文化赋能品牌：挖掘澄迈富硒土壤、火山岩地貌等自然禀赋背后的文化内涵，打造 “火山硒土・自然天成” 品牌故事。与东南亚当地文化 IP 合作，开发定制化包装和宣传内容，适配不同国家的文化审美和消费习惯。 </w:t>
      </w:r>
    </w:p>
    <w:p w14:paraId="5C3F3DE2">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优化物流冷链体系，降低流通成本 </w:t>
      </w:r>
    </w:p>
    <w:p w14:paraId="222DF85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完善跨境物流网络：依托海口综合保税区和马村港，建设澄迈热带农产品跨境物流集散中心，整合仓储、分拣、报关、海运等环节，实现 “一站式” 跨境物流服务。与中远海运、中外运等企业合作，开通澄迈至曼谷、胡志明市的直达冷链海运航线，将运输时间从 7-10 天缩短至 4-5 天，降低物流成本 15%-20%。 </w:t>
      </w:r>
    </w:p>
    <w:p w14:paraId="157FAD6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升级冷链仓储设施：建设 2-3 个万吨级智能冷链仓储中心，配备温湿度实时监控、智能分拣等设备，实现农产品保鲜期延长 30% 以上。推广预冷保鲜、真空包装等技术，降低运输过程中的损耗率，从当前的 12% 降至 8% 以下。 </w:t>
      </w:r>
    </w:p>
    <w:p w14:paraId="0340665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对接区域物流枢纽：借助西部陆海新通道，与南宁、昆明等物流枢纽城市合作，通过 “铁海联运”“公海联运” 模式，拓展至缅甸、老挝等陆路接壤国家的物流通道，降低边境贸易物流成本。 </w:t>
      </w:r>
    </w:p>
    <w:p w14:paraId="50795B4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推进产品标准化建设，破解贸易壁垒 </w:t>
      </w:r>
    </w:p>
    <w:p w14:paraId="6595813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制定国际接轨的标准体系：参照 CAC（国际食品法典委员会）标准及东南亚主要进口国（泰国、马来西亚、新加坡）的农残限量标准，修订澄迈热带农产品种植、加工、检测地方标准，2025 年前形成《澄迈富硒农产品出口标准体系》，涵盖 10 类核心产品。 </w:t>
      </w:r>
    </w:p>
    <w:p w14:paraId="36C6693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强化质量管控能力：建设省级热带农产品质量检测中心澄迈分中心，配备国际先进检测设备，可检测农残、重金属等 100 余项指标，检测结果获东南亚国家互认。推行 “企业自检 + 第三方检测 + 政府抽检” 三重监管模式，确保出口产品 100% 符合目标市场标准。 </w:t>
      </w:r>
    </w:p>
    <w:p w14:paraId="4F22757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应对技术性贸易壁垒：组建由农业技术专家、国际法务人员组成的贸易壁垒应对专班，实时跟踪东南亚国家农产品进口政策变化，提前预警风险。针对泰国农残检测新规、马来西亚有机认证要求等，开展企业专项培训，每年不少于 4 场。 </w:t>
      </w:r>
    </w:p>
    <w:p w14:paraId="084E4CF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拓展多元化销售渠道，稳定市场份额 </w:t>
      </w:r>
    </w:p>
    <w:p w14:paraId="7E3BF98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对接大型商超与零售终端：与泰国卜蜂莲花、马来西亚永旺、新加坡昇菘等东南亚大型商超签订直供协议，建立长期稳定的供销关系，2026 年前实现入驻不少于 10 家核心商超。在曼谷、胡志明市设立品牌体验店，展示和销售高端礼盒装产品，提升品牌形象。 </w:t>
      </w:r>
    </w:p>
    <w:p w14:paraId="427BE93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发力跨境电商平台：入驻 Lazada、Shopee 等东南亚主流电商平台，开设 “澄迈热带农业官方旗舰店”，组建专业运营团队负责产品上架、营销推广、售后服务。利用平台大数据分析目标市场消费偏好，优化产品规格和定价策略，开展针对性促销活动。 </w:t>
      </w:r>
    </w:p>
    <w:p w14:paraId="2041F1A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培育本土合作伙伴：筛选东南亚当地有实力的农产品经销商、进口商建立战略合作伙伴关系，授权其负责区域内渠道拓展、品牌推广和售后服务。设立海外仓，实现本地发货、本地配送，提升客户体验，缩短配送时间至 1-3 天。 </w:t>
      </w:r>
    </w:p>
    <w:p w14:paraId="334980A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强化政策支持与产业协同，夯实发展基础 </w:t>
      </w:r>
    </w:p>
    <w:p w14:paraId="40DBAC1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加大财政金融扶持：设立澄迈热带农业品牌出海专项基金，每年安排 5000 万元，用于品牌推广、国际认证、物流补贴、电商运营等。对企业参加国际农产品展会、申请国际认证的，给予最高 50% 的费用补贴；对出口额超 5000 万元的企业，给予一次性奖励 100 万元。 </w:t>
      </w:r>
    </w:p>
    <w:p w14:paraId="4CCAF1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推动产业集群发展：建设澄迈热带农业出口加工园区，吸引农产品精深加工企业入驻，开发果汁、果干、果酒等深加工产品，延长产业链，提升产品附加值。2026 年前培育 3-5 家年出口额超亿元的龙头企业，形成 “龙头带动、中小企业协同” 的出口格局。 </w:t>
      </w:r>
    </w:p>
    <w:p w14:paraId="5182AF7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化产学研合作：与海南大学、中国热带农业科学院合作，开展品种改良、保鲜技术研发、标准化种植等课题研究，培育更适应东南亚市场需求的优质品种。建立标准化种植示范基地，推广绿色防控、精准施肥等技术，保障产品品质稳定性。</w:t>
      </w:r>
    </w:p>
    <w:p w14:paraId="5BEAEBB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501498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0791DF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529C65B">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114" w:name="_Toc1825"/>
      <w:r>
        <w:rPr>
          <w:rFonts w:hint="eastAsia" w:ascii="楷体_GB2312" w:hAnsi="楷体_GB2312" w:eastAsia="楷体_GB2312" w:cs="楷体_GB2312"/>
          <w:sz w:val="28"/>
          <w:szCs w:val="28"/>
        </w:rPr>
        <w:t>二</w:t>
      </w:r>
      <w:r>
        <w:rPr>
          <w:rFonts w:hint="eastAsia" w:ascii="楷体_GB2312" w:hAnsi="楷体_GB2312" w:eastAsia="楷体_GB2312" w:cs="楷体_GB2312"/>
          <w:sz w:val="28"/>
          <w:szCs w:val="28"/>
          <w:lang w:val="en-US" w:eastAsia="zh-CN"/>
        </w:rPr>
        <w:t>十五</w:t>
      </w:r>
      <w:r>
        <w:rPr>
          <w:rFonts w:hint="eastAsia" w:ascii="楷体_GB2312" w:hAnsi="楷体_GB2312" w:eastAsia="楷体_GB2312" w:cs="楷体_GB2312"/>
          <w:sz w:val="28"/>
          <w:szCs w:val="28"/>
        </w:rPr>
        <w:t>、澄迈如何利用浙琼合作契机，承接浙江智能制造产业转移？</w:t>
      </w:r>
      <w:bookmarkEnd w:id="114"/>
    </w:p>
    <w:p w14:paraId="2DEF466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7C4F139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浙琼合作自 2021 年深化以来，在产业对接、园区共建、人才交流等领域取得显著成效，浙江已累计在琼投资项目超 1200 个，投资总额超 3000 亿元。其中，智能制造产业是浙琼合作的重点领域，浙江拥有杭州未来科技城、宁波余姚智能装备产业园等成熟载体，培育了海康威视、大华股份、吉利汽车等龙头企业，在智能装备、工业机器人、数字经济等领域具备技术、资金、人才和产业链优势。</w:t>
      </w:r>
    </w:p>
    <w:p w14:paraId="26AB02A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澄迈作为海南工业重镇，拥有老城经济开发区、美安科技新城等产业载体，2024 年工业总产值达 160 亿元，其中智能制造相关产业产值超 25 亿元，已初步形成油气装备制造、电子信息制造等基础产业。当前，澄迈承接浙江智能制造产业转移具备一定基础：老城经济开发区已入驻海南汉地流体、海南金盘智能等企业，具备一定的装备制造产业配套能力；美安科技新城获批省级高新技术产业开发区，享有税收优惠、用地保障等政策；交通基础设施逐步完善，马村港可实现货物直达宁波、舟山等浙江港口。但仍面临诸多制约因素：产业载体配套不足，标准厂房、研发中心、中试基地等设施短缺；产业链不完善，缺乏上下游配套企业，物流成本和供应链风险较高；人才短缺严重，高端技术人才和熟练技术工人缺口达 3000 人以上；政策吸引力不足，与浙江本地及其他承接地区相比，在税收返还、土地优惠、融资支持等方面缺乏竞争力；合作机制不健全，缺乏常态化的产业对接、项目推介和要素保障机制。</w:t>
      </w:r>
    </w:p>
    <w:p w14:paraId="46E721F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海南自贸港封关运作临近的背景下，承接浙江智能制造产业转移，对澄迈优化产业结构、提升工业能级、打造海南北部智能制造基地具有重要意义。澄迈需立足自身优势，找准与浙江智能制造产业的契合点，通过完善载体、强化配套、创新政策、健全机制，高效承接产业转移，实现 “浙江技术 + 澄迈载体 + 自贸港政策” 的协同发展。</w:t>
      </w:r>
    </w:p>
    <w:p w14:paraId="28A13BD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4FDC542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搭建精准对接平台，深化产业合作对接 </w:t>
      </w:r>
    </w:p>
    <w:p w14:paraId="20DB41A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建立常态化对接机制：与浙江省发改委、经信厅、商务厅及杭州、宁波、温州等重点城市建立战略合作关系，每年互派代表团考察不少于 2 次，举办 “浙琼智能制造产业对接会”“澄迈 - 浙江产业合作推介会” 等活动，精准推送澄迈产业载体、政策优势和合作需求。 </w:t>
      </w:r>
    </w:p>
    <w:p w14:paraId="45CF79C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共建产业合作园区：借鉴 “飞地经济” 模式，在老城经济开发区、美安科技新城规划建设 “浙琼智能制造合作园区”，规划面积 5 平方公里，由浙江方参与园区规划、建设和运营管理。园区内设置浙江企业专属片区，提供标准化厂房、定制化研发楼等设施，吸引浙江智能制造企业整体迁移或设立区域总部、生产基地。 </w:t>
      </w:r>
    </w:p>
    <w:p w14:paraId="222455E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聚焦重点转移领域：结合浙江产业优势和澄迈产业基础，重点承接智能装备制造（如油气智能装备、工业机器人）、电子信息制造（如半导体零部件、智能传感器）、数字经济（如工业软件、物联网应用）、新能源装备（如储能设备、光伏组件）等领域的产业转移，形成差异化承接格局。 </w:t>
      </w:r>
    </w:p>
    <w:p w14:paraId="1EDE9B9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完善产业载体配套，提升承接能力 </w:t>
      </w:r>
    </w:p>
    <w:p w14:paraId="0AAC9F0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升级产业基础设施：加快 “浙琼智能制造合作园区” 基础设施建设，2026 年前完成道路、供水、供电、供气、污水处理等 “七通一平”，建设 100 万㎡标准化厂房、20 万㎡研发中心和 5 万㎡中试基地。配套建设工业互联网平台、智能物流仓储中心、检验检测中心等公共服务设施，满足智能制造企业生产研发需求。 </w:t>
      </w:r>
    </w:p>
    <w:p w14:paraId="1B8D362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构建产业链配套体系：针对承接的智能制造产业，梳理上下游配套需求，通过招商引资引入零部件生产、物流配送、维修服务等配套企业。鼓励本地现有企业转型升级，为转移企业提供配套服务，形成 “核心企业 + 配套企业” 的产业集群。例如，围绕油气智能装备产业，引入阀门、传感器等零部件供应商，降低企业采购成本。 </w:t>
      </w:r>
    </w:p>
    <w:p w14:paraId="7EA446A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强化能源与算力保障：优化园区能源供应，建设分布式光伏电站和储能设施，保障企业用电稳定；接入海南自贸港国际数据中心，提供高速、低成本的算力服务，满足智能制造企业数据存储和算力需求。 </w:t>
      </w:r>
    </w:p>
    <w:p w14:paraId="35ED0DE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创新政策支持体系，增强承接吸引力 </w:t>
      </w:r>
    </w:p>
    <w:p w14:paraId="6F53406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优化税收优惠政策：对转移至澄迈的浙江智能制造企业，自投产年度起，前 3 年按企业所得税地方留成部分的 100% 给予返还，第 4-5 年给予 50% 返还；增值税地方留成部分按 50% 给予返还，期限 3 年。对符合条件的高新技术企业，叠加享受海南自贸港 15% 企业所得税优惠政策。 </w:t>
      </w:r>
    </w:p>
    <w:p w14:paraId="0238645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加大用地与资金支持：对转移企业优先保障用地指标，工业用地出让底价可按所在地土地等别相对应全国工业用地出让最低价标准的 70% 执行。设立 10 亿元浙琼智能制造产业转移专项基金，为转移企业提供股权投资、固定资产贷款贴息等支持，贴息率最高可达 LPR 的 50%。 </w:t>
      </w:r>
    </w:p>
    <w:p w14:paraId="635159B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提供一站式落地服务：设立 “浙琼产业转移服务专班”，为转移企业提供工商注册、税务登记、项目审批、资质办理等 “一站式” 服务，审批时限压缩至法定时限的 30% 以内。建立项目跟踪服务机制，实行 “一企一策”，及时解决企业落地和生产经营中的问题。 </w:t>
      </w:r>
    </w:p>
    <w:p w14:paraId="3E687C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EEDFB05">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强化人才引育保障，破解人才瓶颈 </w:t>
      </w:r>
    </w:p>
    <w:p w14:paraId="516AF76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搭建人才交流合作平台：与浙江高校、职业院校合作，开展 “订单式” 人才培养，开设智能制造、工业机器人、电子信息等专业定向班，每年培养熟练技术工人 500 人以上。邀请浙江智能制造领域专家到澄迈开展技术培训和指导，每年不少于 4 场。 </w:t>
      </w:r>
    </w:p>
    <w:p w14:paraId="1E9AC2A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优化人才政策待遇：对转移企业引进的高端技术人才和管理人才，给予最高 50 万元的安家补贴、每月最高 1 万元的生活补贴，期限 3 年；优先解决子女入学、配偶就业、医疗保障等问题。对熟练技术工人，给予最高 5 万元的购房补贴和每月最高 2000 元的技能补贴。 </w:t>
      </w:r>
    </w:p>
    <w:p w14:paraId="64E8ABC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柔性引才机制：鼓励浙江智能制造企业的技术人才以兼职、顾问、项目合作等方式为澄迈企业提供服务，按其贡献给予相应奖励。与浙江人才服务机构合作，建立智能制造人才库，为澄迈企业提供人才推荐、招聘等服务。 </w:t>
      </w:r>
    </w:p>
    <w:p w14:paraId="7070511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健全要素保障机制，优化营商环境 </w:t>
      </w:r>
    </w:p>
    <w:p w14:paraId="3A0EA8E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强化物流与供应链保障：依托马村港，开通澄迈至宁波、舟山的货运专线，降低货物运输成本。与浙江物流企业合作，建设智能物流园区，提供仓储、运输、配送等一体化物流服务。依托海南自贸港 “加工增值免关税” 政策，为转移企业进口原材料、设备提供通关便利。 </w:t>
      </w:r>
    </w:p>
    <w:p w14:paraId="37AC0C5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强金融服务支持：鼓励银行机构设立智能制造产业专项信贷额度，为转移企业提供固定资产贷款、流动资金贷款等金融产品，简化审批流程，降低融资利率。推动企业对接海南股权交易中心和科创板、创业板，支持符合条件的企业上市融资。 </w:t>
      </w:r>
    </w:p>
    <w:p w14:paraId="0510DCE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优化营商环境配套：复制浙江 “最多跑一次” 改革经验，深化 “放管服” 改革，推行 “一网通办”“一窗受理”。建立营商环境评价机制，定期收集转移企业意见建议，及时整改优化。加强知识产权保护，为企业提供专利申请、维权等服务，营造良好创新环境。</w:t>
      </w:r>
    </w:p>
    <w:p w14:paraId="274C856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57F593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78534A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7D029E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151898E">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二十六</w:t>
      </w:r>
      <w:r>
        <w:rPr>
          <w:rFonts w:hint="eastAsia" w:ascii="楷体_GB2312" w:hAnsi="楷体_GB2312" w:eastAsia="楷体_GB2312" w:cs="楷体_GB2312"/>
          <w:sz w:val="28"/>
          <w:szCs w:val="28"/>
        </w:rPr>
        <w:t>、澄迈 “政企会客厅” 机制如何常态化，提升问题办结质效？</w:t>
      </w:r>
    </w:p>
    <w:p w14:paraId="7696CBD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02CFCC0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澄迈县 “政企会客厅” 机制自 2023 年启动以来，通过 “面对面” 沟通、“点对点” 服务，累计召开座谈会 28 场，接待企业 320 余家次，收集企业反映的用地保障、政策兑现、融资贷款、人才短缺等问题 450 余件，办结率达 82%，解决了一批企业急难愁盼问题，得到企业广泛认可。例如，协调解决海南汉地流体公司用地指标问题，推动项目提前 6 个月开工；帮助海南金盘智能争取融资贷款 2.3 亿元，缓解资金压力。</w:t>
      </w:r>
    </w:p>
    <w:p w14:paraId="51D657E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但当前 “政企会客厅” 机制仍存在诸多制约其常态化、高效化运行的问题：运行机制不健全，缺乏固定的召开频次、参与部门和流程规范，存在 “临时召集、随意性强” 的现象；问题收集渠道单一，主要依赖线下座谈会，未形成线上线下联动的全方位收集渠道；部门协同不足，部分跨部门、跨领域问题存在推诿扯皮现象，牵头单位不明确，办理效率低下；问题办理跟踪督办机制不完善，缺乏全程跟踪和量化考核，部分问题 “重答复、轻落实”；结果反馈与评价机制缺失，企业对问题办理结果的满意度评价未纳入考核体系，难以形成闭环管理；政策解读与宣传不到位，部分企业对 “政企会客厅” 机制知晓度不高，参与积极性不足。</w:t>
      </w:r>
    </w:p>
    <w:p w14:paraId="5FD78D1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在海南自贸港优化营商环境的大背景下，“政企会客厅” 作为政企沟通的重要桥梁，其常态化、规范化运行对提升澄迈营商环境、激发市场主体活力具有重要意义。澄迈需针对当前存在的问题，从机制建设、渠道拓展、协同联动、跟踪督办、评价反馈等方面入手，推动 “政企会客厅” 机制常态化、制度化、高效化，切实提升问题办结质效，增强企业获得感。</w:t>
      </w:r>
    </w:p>
    <w:p w14:paraId="0B7D90B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63CB63B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健全常态化运行机制，规范运作流程 </w:t>
      </w:r>
    </w:p>
    <w:p w14:paraId="1E3B210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明确固定运行模式：制定《澄迈县 “政企会客厅” 常态化运行管理办法》，明确 “每月一场主题座谈会、每季度一场综合性座谈会” 的固定频次。主题座谈会聚焦特定行业（如热带农业、智能制造、油气服务）或特定问题（如融资、人才、政策兑现），综合性座谈会覆盖各类企业和各类问题。 </w:t>
      </w:r>
    </w:p>
    <w:p w14:paraId="7327D2E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规范参与部门与人员：建立 “政府领导牵头、主管部门主导、相关部门联动” 的参与机制。主题座谈会由分管副县长牵头，对应行业主管部门为主办单位，相关职能部门（如发改委、资规局、财政局、人社局）负责人参加；综合性座谈会由县政府主要领导牵头，所有相关职能部门负责人参加。要求企业负责人现场参会，确保问题表达精准。 </w:t>
      </w:r>
    </w:p>
    <w:p w14:paraId="4DAC001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优化会议流程：会前 15 天通过多渠道收集企业问题，进行分类梳理；会上企业现场反映问题，职能部门当场回应，能立即解决的当场办结，不能立即解决的明确办理时限和责任人；会后 3 个工作日内形成问题清单、责任清单、时限清单，向企业和相关部门印发。 </w:t>
      </w:r>
    </w:p>
    <w:p w14:paraId="71EB3D1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拓展多元化问题收集渠道，实现全覆盖 </w:t>
      </w:r>
    </w:p>
    <w:p w14:paraId="31F42CB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搭建线上收集平台：依托澄迈县政府门户网站、“澄迈政企服务” 微信公众号、12345 政务服务热线，开设 “政企会客厅” 线上专栏，企业可随时提交问题和诉求，实现 “24 小时不打烊”。线上平台与线下座谈会数据互通，形成问题收集 “一张网”。 </w:t>
      </w:r>
    </w:p>
    <w:p w14:paraId="57E80BD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开展常态化走访调研：建立 “政府领导包联重点企业、部门负责人包联行业企业” 的走访机制，政府领导每月走访重点企业不少于 2 家，部门负责人每月走访行业企业不少于 5 家，现场收集企业问题和诉求，及时纳入 “政企会客厅” 问题办理体系。 </w:t>
      </w:r>
    </w:p>
    <w:p w14:paraId="3B8AD86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依托行业协会收集：与澄迈县企业家协会、农业产业协会、工业协会等建立合作机制，由行业协会定期收集会员企业问题，汇总后提交 “政企会客厅” 工作专班，扩大问题收集覆盖面。 </w:t>
      </w:r>
    </w:p>
    <w:p w14:paraId="5922179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强化部门协同联动，提升办理效率 </w:t>
      </w:r>
    </w:p>
    <w:p w14:paraId="214567A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建立问题分流机制：对收集的企业问题，由 “政企会客厅” 工作专班进行分类分拣，属于单一部门职责的，直接交办给相关部门；属于跨部门、跨领域的，明确牵头部门和配合部门，牵头部门负责统筹协调，配合部门主动履职，形成工作合力。 </w:t>
      </w:r>
    </w:p>
    <w:p w14:paraId="6539AA6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完善协同办理流程：牵头部门接到跨部门问题后，3 个工作日内组织配合部门召开协调会议，制定办理方案；办理过程中遇到难点问题，可提请县政府分管领导协调解决。配合部门需在规定时限内反馈办理进展，不得推诿扯皮。 </w:t>
      </w:r>
    </w:p>
    <w:p w14:paraId="6B0D63C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建立信息共享机制：搭建 “政企会客厅” 问题办理信息共享平台，相关部门实时更新问题办理进展，企业可通过线上平台查询办理状态，实现问题办理 “阳光透明”。 </w:t>
      </w:r>
    </w:p>
    <w:p w14:paraId="39235DC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健全跟踪督办机制，确保落实到位 </w:t>
      </w:r>
    </w:p>
    <w:p w14:paraId="6EA25C6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建立三级督办体系：“政企会客厅” 工作专班负责日常督办，每周梳理问题办理进展，对超期未办结的问题进行提醒；县政府督查室负责重点督办，每月对问题办理情况进行专项督查，形成督查通报；县人大、政协负责监督督办，每季度组织人大代表、政协委员对问题办理结果进行视察评议。 </w:t>
      </w:r>
    </w:p>
    <w:p w14:paraId="4F590A5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明确办理时限标准：对企业反映的问题，根据复杂程度明确办理时限：简单问题 3 个工作日内办结；一般问题 7 个工作日内办结；复杂问题 15 个工作日内办结；特殊问题 30 个工作日内办结，确需延长的需经县政府分管领导批准，并向企业说明情况。 </w:t>
      </w:r>
    </w:p>
    <w:p w14:paraId="736F123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实行销号管理：问题办结后，由工作专班进行核查，核查通过的予以销号；核查未通过的，退回相关部门重新办理，并限期整改。对超期未办结且无正当理由的部门，进行通报批评，并与绩效考核挂钩。 </w:t>
      </w:r>
    </w:p>
    <w:p w14:paraId="2C28D05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完善评价反馈与宣传机制，形成闭环 </w:t>
      </w:r>
    </w:p>
    <w:p w14:paraId="26826C9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企业满意度评价体系：问题办结后，通过线上平台、短信、电话等方式，邀请企业对办理结果进行满意度评价（分为非常满意、满意、基本满意、不满意四个等级）。评价结果纳入相关部门绩效考核，满意度低于 80% 的，相关部门需向县政府作出书面说明，并重新核查办理。 </w:t>
      </w:r>
    </w:p>
    <w:p w14:paraId="1C0A770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加强结果反馈与公开：对企业反映的问题，办理结果及时向企业反馈，反馈率达 100%。每季度通过政府门户网站、微信公众号等渠道，公开 “政企会客厅” 问题收集、办理、办结情况，接受社会监督。 </w:t>
      </w:r>
    </w:p>
    <w:p w14:paraId="5DB83B3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强化政策宣传推广：通过政府官网、微信公众号、企业座谈会、行业协会培训等多种渠道，宣传 “政企会客厅” 机制的运行模式、办理流程和成功案例，提高企业知晓度和参与积极性。对企业反映集中的共性问题，及时出台相关政策措施，并向企业宣传解读。</w:t>
      </w:r>
    </w:p>
    <w:p w14:paraId="634C64E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498885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12CA78A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2CB241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799C634">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115" w:name="_Toc8643"/>
      <w:r>
        <w:rPr>
          <w:rFonts w:hint="eastAsia" w:ascii="楷体_GB2312" w:hAnsi="楷体_GB2312" w:eastAsia="楷体_GB2312" w:cs="楷体_GB2312"/>
          <w:sz w:val="28"/>
          <w:szCs w:val="28"/>
          <w:lang w:val="en-US" w:eastAsia="zh-CN"/>
        </w:rPr>
        <w:t>二十七</w:t>
      </w:r>
      <w:r>
        <w:rPr>
          <w:rFonts w:hint="eastAsia" w:ascii="楷体_GB2312" w:hAnsi="楷体_GB2312" w:eastAsia="楷体_GB2312" w:cs="楷体_GB2312"/>
          <w:sz w:val="28"/>
          <w:szCs w:val="28"/>
        </w:rPr>
        <w:t>、澄迈如何破解油服产业专业人才短缺，建立长效引育机制？</w:t>
      </w:r>
      <w:bookmarkEnd w:id="115"/>
    </w:p>
    <w:p w14:paraId="3280583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72B8E89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澄迈油气服务产业园是海南自贸港重点园区，已集聚油服企业 120 余家，2024 年实现产值超 90 亿元，形成了涵盖油气勘探开发、钻采服务、设备维修、物流仓储等全链条的油服产业体系。随着海南自贸港油气产业的快速发展，以及澄迈油气服务产业园 “打造东南亚油气服务枢纽” 目标的推进，油服产业对专业人才的需求日益迫切。当前，澄迈油服产业专业人才短缺问题突出：人才总量不足，现有专业人才仅 3500 余人，其中高端技术人才和管理人才占比不足 15%，远不能满足产业发展需求；人才结构失衡，钻井工程、油气化工、设备维修等实操型技术人才缺口达 2000 人，海洋油气服务、智能油气装备等新兴领域人才几乎空白；人才流失严重，由于缺乏完善的职业发展通道和薪酬福利体系，近三年核心人才流失率达 18%；引育机制不健全，人才引进缺乏针对性政策，本土人才培养与产业需求脱节，校企合作、产教融合深度不足。</w:t>
      </w:r>
    </w:p>
    <w:p w14:paraId="0A0BA30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油服产业是技术密集型产业，专业人才是核心竞争力。澄迈油服产业专业人才短缺已成为制约产业升级和高质量发展的关键瓶颈，导致部分企业不得不从外地高薪引进人才，增加了运营成本；部分高端项目因缺乏核心技术人才无法落地，错失发展机遇。在东南亚油气服务市场竞争日益激烈的背景下，建立油服产业专业人才长效引育机制，破解人才短缺问题，对澄迈油服产业提升核心竞争力、打造区域性油气服务枢纽具有重要意义。</w:t>
      </w:r>
    </w:p>
    <w:p w14:paraId="665D01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38742ED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精准引进专业人才，拓宽人才引进渠道 </w:t>
      </w:r>
    </w:p>
    <w:p w14:paraId="506A5DE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制定靶向人才引进目录：结合澄迈油服产业发展需求，每年发布《澄迈油服产业紧缺人才目录》，明确钻井工程、油气化工、海洋油气服务、智能油气装备、油气物流等紧缺领域，以及高级工程师、注册安全工程师、项目管理专家等紧缺岗位，实行 “按图索骥” 式引进。 </w:t>
      </w:r>
    </w:p>
    <w:p w14:paraId="0BA0E2E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拓展多元化引才渠道：组织企业参加中国国际人才交流大会、油气产业人才招聘会等国内外大型人才招聘活动，每年不少于 4 场。与国内外油气产业发达地区（如天津、深圳、新加坡、休斯顿）的人才服务机构、行业协会建立合作关系，开展委托招聘、猎头服务。推行 “柔性引才” 模式，吸引退休专家、高校教授、行业领军人才以兼职、顾问、项目合作等方式为澄迈油服企业提供技术支持和人才培养服务。 </w:t>
      </w:r>
    </w:p>
    <w:p w14:paraId="1539B2F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优化人才引进政策：对引进的油服产业紧缺人才，给予最高 80 万元的安家补贴、每月最高 2 万元的生活补贴，期限 3 年；在澄迈购买首套住房的，给予最高 30 万元的购房补贴。对引进的高端人才团队，给予最高 500 万元的项目启动资金支持。为人才提供子女入学、配偶就业、医疗保障、落户等 “一站式” 服务，解除人才后顾之忧。 </w:t>
      </w:r>
    </w:p>
    <w:p w14:paraId="5C78F771">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深化产教融合，培育本土专业人才 </w:t>
      </w:r>
    </w:p>
    <w:p w14:paraId="5D0FA53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共建人才培养基地：与中国石油大学、西南石油大学、海南大学等高校合作，共建 “澄迈油服产业人才培养基地”，开设油气工程、石油化工、海洋油气技术等定向专业，采用 “2+2”“3+1” 等培养模式，学生前 2-3 年在高校学习基础理论，后 1-2 年在澄迈油服企业实习实训，实现 “学业 - 就业” 无缝衔接，每年培养本土专业人才 300 人以上。 </w:t>
      </w:r>
    </w:p>
    <w:p w14:paraId="06DE7FE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开展职业技能培训：与海南经贸职业技术学院、澄迈中等职业技术学校等职业院校合作，开展油服产业技能培训，开设钻井操作、设备维修、油气化工等技能培训班，每年培训熟练技术工人 500 人以上。对参加培训并取得相应职业资格证书的人员，给予最高 3000 元的培训补贴；对企业组织员工参加培训的，给予最高 50% 的培训费用补贴。 </w:t>
      </w:r>
    </w:p>
    <w:p w14:paraId="7299876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推行 “企业新型学徒制”：鼓励油服企业与职业院校合作，推行 “企业新型学徒制”，企业选拔优秀技术骨干担任导师，与院校教师共同制定培养方案，对学徒进行 “手把手” 培养，培养周期 1-2 年，企业给予学徒每月不低于当地最低工资标准 2 倍的补贴，政府给予企业最高 5000 元 / 人的补贴。 </w:t>
      </w:r>
    </w:p>
    <w:p w14:paraId="1F18A57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完善人才发展环境，留住核心人才 </w:t>
      </w:r>
    </w:p>
    <w:p w14:paraId="081D4C6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搭建职业发展平台：支持油服企业建立完善的职业晋升通道，设置管理、技术、技能等多条晋升路径，让人才有奔头。鼓励企业开展技术创新、项目攻关，对取得重大技术突破、为企业创造显著效益的人才，给予重奖。支持人才申报各级各类人才项目、科研项目，为人才提供施展才华的平台。 </w:t>
      </w:r>
    </w:p>
    <w:p w14:paraId="76AC6BD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薪酬福利体系：引导油服企业建立与市场接轨、与绩效挂钩的薪酬体系，核心技术人才和管理人才薪酬水平不低于国内同行业平均水平。鼓励企业为人才缴纳补充养老保险、补充医疗保险，提供住房公积金缴存比例上浮、带薪休假、定期体检等福利。对作出突出贡献的人才，纳入澄迈县 “优秀人才” 评选范围，给予表彰奖励，并享受相关优待政策。 </w:t>
      </w:r>
    </w:p>
    <w:p w14:paraId="3C9F7A7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营造良好生活环境：在油气服务产业园周边建设人才公寓、商业综合体、学校、医院、文体设施等配套设施，打造 “15 分钟人才生活圈”。组织开展油服产业人才交流活动、文体活动，增进人才之间的沟通交流，增强人才的归属感和幸福感。 </w:t>
      </w:r>
    </w:p>
    <w:p w14:paraId="11C7916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健全人才服务保障机制，强化政策支撑 </w:t>
      </w:r>
    </w:p>
    <w:p w14:paraId="122FB7A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设立人才服务专班：成立澄迈油服产业人才服务专班，负责人才引进、培养、服务等工作的统筹协调和组织实施。为人才提供政策咨询、资格认定、补贴申报等 “一站式” 服务，简化办事流程，提高服务效率。 </w:t>
      </w:r>
    </w:p>
    <w:p w14:paraId="2FC6EF9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人才数据库：建设澄迈油服产业人才数据库，整合人才基本信息、专业技能、职业经历、发展需求等数据，实现人才动态管理和精准服务。利用数据库为企业推荐匹配人才，为政府制定人才政策提供数据支撑。 </w:t>
      </w:r>
    </w:p>
    <w:p w14:paraId="08F783E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加大财政投入保障：设立澄迈油服产业人才发展专项资金，每年安排 3000 万元，用于人才引进补贴、人才培养、技能培训、人才服务等工作。资金实行专款专用，提高资金使用效益。</w:t>
      </w:r>
    </w:p>
    <w:p w14:paraId="4810A8A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3D0B30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837D32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DD0B7D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CAC19BF">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二十八</w:t>
      </w:r>
      <w:r>
        <w:rPr>
          <w:rFonts w:hint="eastAsia" w:ascii="楷体_GB2312" w:hAnsi="楷体_GB2312" w:eastAsia="楷体_GB2312" w:cs="楷体_GB2312"/>
          <w:sz w:val="28"/>
          <w:szCs w:val="28"/>
        </w:rPr>
        <w:t>、海口经济圈社保 “圈内通办” 如何扩大覆盖范围，提升便捷度？</w:t>
      </w:r>
    </w:p>
    <w:p w14:paraId="626BCBF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0F3A30A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海口经济圈涵盖海口、澄迈、文昌、定安、临高五个市县，总人口超 300 万，是海南人口最密集、经济最活跃的区域。2023 年，海口经济圈启动社保 “圈内通办” 改革，首批推出养老保险转移接续、社保缴费查询、参保信息打印等 12 项通办事项，通过 “线上一网通办、线下一窗通办” 模式，打破市县行政壁垒，方便群众和企业办理社保业务。截至 2024 年底，累计办理 “圈内通办” 社保业务超 8 万件，群众满意度达 85%。</w:t>
      </w:r>
    </w:p>
    <w:p w14:paraId="67BED58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但当前海口经济圈社保 “圈内通办” 仍存在诸多不足：覆盖范围较窄，通办事项仅 12 项，未能涵盖参保登记、待遇申领、资格认证、医保报销等高频事项；线上办理渠道不统一，各市县社保线上服务平台功能差异较大，部分事项需在不同平台切换办理，操作繁琐；线下通办网点不足，仅在各市县政务服务中心设立通办窗口，乡镇、街道便民服务中心未实现全覆盖，群众就近办理不便；数据共享不充分，各市县社保数据未完全互联互通，部分通办事项仍需群众提供纸质材料，重复提交问题突出；经办标准不统一，各市县社保业务经办流程、申请材料、办理时限存在差异，导致 “同一件事在不同市县办理要求不同”；宣传推广不到位，部分群众和企业对 “圈内通办” 政策知晓度不高，不知道哪些事项可通办、如何通办。</w:t>
      </w:r>
    </w:p>
    <w:p w14:paraId="448F3F1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随着海口经济圈一体化发展进程加快，人员跨市县流动日益频繁，企业跨市县经营日益增多，对社保 “圈内通办” 的覆盖范围和便捷度提出更高要求。扩大社保 “圈内通办” 覆盖范围、提升便捷度，是深化 “放管服” 改革、优化营商环境、增进民生福祉的重要举措，对推动海口经济圈一体化发展具有重要意义。</w:t>
      </w:r>
    </w:p>
    <w:p w14:paraId="172C0CD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7FF3233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扩大通办事项覆盖范围，实现高频事项全涵盖 </w:t>
      </w:r>
    </w:p>
    <w:p w14:paraId="0E428FA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梳理新增通办事项：在现有 12 项通办事项基础上，全面梳理海口经济圈社保高频事项，2025 年底前新增参保登记、社保缴费、待遇申领（养老保险待遇、失业保险金、工伤保险待遇）、资格认证、医保异地就医备案、医保报销、社保卡申领与挂失补办等 28 项通办事项，使通办事项总数达 40 项，覆盖社保缴费、待遇、服务等全领域。 </w:t>
      </w:r>
    </w:p>
    <w:p w14:paraId="123360A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分类推进通办模式：对信息共享程度高、经办流程简单的事项（如社保查询、参保信息打印），实行 “全程网办”；对需线下核验材料、人工审核的事项（如待遇申领、医保报销），实行 “线上申请 + 线下核验 + 快递送达”；对跨部门、跨领域的复杂事项（如社保转移接续 + 医保转移接续），实行 “一次申请、联合办理”。 </w:t>
      </w:r>
    </w:p>
    <w:p w14:paraId="79422E3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聚焦重点群体需求：针对灵活就业人员、农民工、企业职工等重点群体，优先推出高频通办事项。例如，为灵活就业人员推出社保缴费、参保登记、待遇申领等 “打包办” 服务；为企业推出职工参保登记、社保缴费、人员增减变动等 “批量办” 服务。 </w:t>
      </w:r>
    </w:p>
    <w:p w14:paraId="2234F0F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统一线上办理渠道，提升线上服务效能 </w:t>
      </w:r>
    </w:p>
    <w:p w14:paraId="05D88DB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整合线上服务平台：依托海南政务服务网、“海易办” APP，整合各市县社保线上服务平台功能，打造海口经济圈社保 “圈内通办” 线上统一入口，实现 “一次注册、全网通办”，避免群众在不同平台切换办理。 </w:t>
      </w:r>
    </w:p>
    <w:p w14:paraId="4DD05F6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优化线上办理功能：完善线上平台预约挂号、进度查询、结果反馈、投诉举报等功能，实现通办事项 “申请 - 受理 - 审核 - 办结 - 送达” 全流程线上办理。推广电子证照、电子印章应用，减少纸质材料提交，实现 “零材料办”“零跑动办”。针对老年人、残疾人等特殊群体，优化线上平台操作界面，提供语音导航、视频指导等适老化、适残化服务。 </w:t>
      </w:r>
    </w:p>
    <w:p w14:paraId="5DE9A7A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推动 “一网通办” 向 “一码通办” 升级：依托电子社保卡，实现社保 “圈内通办” 事项 “一码登录、一码办理、一码查询”，群众仅凭电子社保卡即可办理各类通办事项，无需额外提供其他证明材料。 </w:t>
      </w:r>
    </w:p>
    <w:p w14:paraId="6E2D145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完善线下通办网络，方便群众就近办理 </w:t>
      </w:r>
    </w:p>
    <w:p w14:paraId="25BEE73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扩大线下通办网点覆盖：在各市县政务服务中心设立社保 “圈内通办” 专门窗口的基础上，2026 年底前在所有乡镇（街道）便民服务中心、部分村（社区）便民服务站设立通办网点，实现 “市县 - 乡镇 - 村社” 三级通办网络全覆盖。在银行网点、邮政网点设立社保通办代办点，延伸服务触角。 </w:t>
      </w:r>
    </w:p>
    <w:p w14:paraId="7DA0FD7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统一线下经办标准：制定海口经济圈社保 “圈内通办” 事项经办指南，统一各事项的申请材料、办理流程、办理时限、收费标准，实现 “同一件事、同一标准、同一流程”。开展通办窗口工作人员培训，确保工作人员熟练掌握通办政策和经办流程，提供标准化、规范化服务。 </w:t>
      </w:r>
    </w:p>
    <w:p w14:paraId="17711A4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推行 “一窗受理、集成服务”：在各级通办网点设立 “综合服务窗口”，实现社保、医保、就业等相关事项 “一窗受理、并联办理”，减少群众排队等待时间。配备自助服务终端，提供社保查询、缴费、证明打印等自助办理服务，方便群众随时办理。 </w:t>
      </w:r>
    </w:p>
    <w:p w14:paraId="1A1A4B6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深化数据共享互通，打破信息壁垒 </w:t>
      </w:r>
    </w:p>
    <w:p w14:paraId="0117FE9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建立数据共享机制：成立海口经济圈社保数据共享工作专班，统筹推进各市县社保数据共享交换平台建设，2025 年底前实现各市县社保数据、医保数据、就业数据、户籍数据等互联互通。明确数据共享清单和共享规则，确保数据共享安全、规范、高效。 </w:t>
      </w:r>
    </w:p>
    <w:p w14:paraId="04CBD2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推进证明材料免提交：依托数据共享平台，实现身份证、户口本、结婚证、参保缴费证明等 20 类高频证明材料免提交，由经办部门通过数据共享自动获取，避免群众重复提交。对确需提交的纸质材料，实行 “一次提交、多次复用”。 </w:t>
      </w:r>
    </w:p>
    <w:p w14:paraId="69F7242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强化数据安全保障：建立健全社保数据安全管理制度和技术防护体系，落实数据安全责任，加强数据加密、访问控制、安全审计等防护措施，确保数据安全和个人信息保护。 </w:t>
      </w:r>
    </w:p>
    <w:p w14:paraId="2D2453D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加强宣传推广与监督评价，提升服务质量 </w:t>
      </w:r>
    </w:p>
    <w:p w14:paraId="0BED979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多渠道开展宣传推广：通过各市县政府官网、微信公众号、抖音等新媒体平台，以及社区公告、企业宣讲、政务服务大厅宣传等线下渠道，宣传社保 “圈内通办” 政策、通办事项、办理渠道和操作指南。制作通俗易懂的宣传手册、短视频，提高群众和企业知晓度。 </w:t>
      </w:r>
    </w:p>
    <w:p w14:paraId="746564A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建立监督评价机制：设立社保 “圈内通办” 投诉举报热线和线上投诉渠道，及时受理群众和企业的投诉举报。建立满意度评价体系，群众办理完通办事项后，可对服务态度、办理效率、便捷程度进行评价，评价结果纳入经办部门绩效考核。 </w:t>
      </w:r>
    </w:p>
    <w:p w14:paraId="2DDC2B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定期开展成效评估：每半年对社保 “圈内通办” 工作成效进行评估，重点评估通办事项覆盖率、线上办理率、群众满意度等指标，针对存在的问题及时整改优化，持续提升 “圈内通办” 便捷度和群众获得感。</w:t>
      </w:r>
    </w:p>
    <w:p w14:paraId="5C9A2F4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6101B3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9AE32A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1FC1B3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100C75B">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二十九</w:t>
      </w:r>
      <w:r>
        <w:rPr>
          <w:rFonts w:hint="eastAsia" w:ascii="楷体_GB2312" w:hAnsi="楷体_GB2312" w:eastAsia="楷体_GB2312" w:cs="楷体_GB2312"/>
          <w:sz w:val="28"/>
          <w:szCs w:val="28"/>
        </w:rPr>
        <w:t>、澄迈如何推动美丽乡村与乡村旅游深度融合，避免同质化开发？</w:t>
      </w:r>
    </w:p>
    <w:p w14:paraId="1DB639D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33F84DF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澄迈拥有丰富的乡村旅游资源，现有美丽乡村示范村 28 个，其中罗驿村、美榔村被列入中国传统村落名录，福山咖啡文化风情镇、桥头富硒地瓜产业小镇等特色小镇初具规模。2024 年，澄迈乡村旅游接待游客超 350 万人次，旅游收入突破 18 亿元，乡村旅游已成为澄迈旅游业的重要增长点和农民增收的重要渠道。当前，澄迈美丽乡村与乡村旅游融合发展已取得一定成效：罗驿村依托古村落资源，开发古民居游览、民俗体验等项目；福山咖啡文化风情镇以咖啡产业为核心，打造咖啡采摘、烘焙体验、休闲度假等业态。</w:t>
      </w:r>
    </w:p>
    <w:p w14:paraId="0EF8322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但融合发展过程中仍存在突出问题：同质化严重，多数美丽乡村旅游项目集中在农家乐、采摘园、简单民俗表演等低端业态，缺乏特色和深度，游客停留时间短（平均不足 2 小时），人均消费低（不足 100 元）；资源挖掘不深，对本土文化（如火山文化、富硒文化、侨乡文化）、农业资源的挖掘和转化不足，未能形成独特的旅游 IP；基础设施不完善，部分美丽乡村交通不便、停车难、住宿条件简陋、污水处理设施不足，影响旅游体验；产业融合不深，乡村旅游与农业、文化、康养等产业融合度低，缺乏延伸产业链和高附加值产品；运营管理滞后，多数项目由村集体或小型运营商运营，缺乏专业的策划、营销和管理能力，可持续发展能力弱。</w:t>
      </w:r>
    </w:p>
    <w:p w14:paraId="2A0BCB0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海南建设国际旅游消费中心的背景下，推动美丽乡村与乡村旅游深度融合，避免同质化开发，对澄迈丰富旅游产品供给、提升旅游产业能级、促进乡村振兴具有重要意义。澄迈需依托自身资源禀赋，挖掘特色优势，构建 “一村一品、一镇一韵” 的乡村旅游发展格局，实现美丽乡村与乡村旅游高质量融合发展。</w:t>
      </w:r>
    </w:p>
    <w:p w14:paraId="2629E2B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24BEC98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深挖特色资源，打造差异化旅游 IP </w:t>
      </w:r>
    </w:p>
    <w:p w14:paraId="7CC339E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分类定位发展方向：根据各村镇的资源禀赋，分为古村落文化型、热带农业型、民俗风情型、康养休闲型、产业特色型等类型，明确差异化发展定位。例如，罗驿村、美榔村重点打造古村落文化旅游 IP，深度开发古民居游览、非遗体验、研学旅游等项目；福山咖啡文化风情镇重点打造咖啡产业旅游 IP，延伸咖啡种植、烘焙、品鉴、文创等产业链；桥头镇重点打造富硒农业旅游 IP，开发富硒地瓜采摘、富硒餐饮、农业研学等项目。 </w:t>
      </w:r>
    </w:p>
    <w:p w14:paraId="71ABBC9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挖掘本土文化内涵：深入挖掘火山文化、富硒文化、侨乡文化、红色文化等本土文化资源，将其融入乡村旅游项目开发。例如，在火山地貌村庄打造火山地质科普、火山民俗体验项目；在侨乡村庄打造侨乡建筑游览、侨乡美食体验、侨乡文化展览等项目；在红色资源丰富的村庄打造红色研学、革命传统教育等项目。 </w:t>
      </w:r>
    </w:p>
    <w:p w14:paraId="1319BAE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打造特色旅游产品：每个美丽乡村至少培育 1-2 个核心旅游产品，形成 “一村一品”。例如，美榔村开发宋代石塔研学、古村落摄影等产品；福山咖啡村开发咖啡 DIY 烘焙、咖啡主题民宿等产品；龙吉村开发富硒蔬菜采摘、亲子农耕体验等产品。 </w:t>
      </w:r>
    </w:p>
    <w:p w14:paraId="2606ACE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深化产业融合，延伸产业链条 </w:t>
      </w:r>
    </w:p>
    <w:p w14:paraId="32F8085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推动农旅深度融合：依托热带农业资源，发展观光农业、采摘农业、休闲农业、研学农业等业态。建设高标准热带水果采摘园、富硒蔬菜种植基地、花卉观赏园等，推出 “采摘 + 餐饮 + 住宿”“农耕 + 研学 + 科普” 等套餐产品。开发农业文创产品，将富硒地瓜、无核荔枝、福橙等农产品加工为果干、果汁、果酒、礼盒等，提升产品附加值。 </w:t>
      </w:r>
    </w:p>
    <w:p w14:paraId="7C79CEE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动文旅深度融合：将传统文化、民俗风情与乡村旅游深度融合，开发非遗体验、民俗表演、文化展览等项目。例如，举办罗驿村古村落文化节、福山咖啡文化节、侨乡文化节等活动，增强旅游吸引力。邀请本地非遗传承人入驻乡村，开展椰雕、黎锦、陶艺等非遗技艺体验课程。 </w:t>
      </w:r>
    </w:p>
    <w:p w14:paraId="5C92A5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推动康养与乡村旅游融合：依托澄迈优良的生态环境和富硒资源，打造乡村康养旅游产品。建设乡村康养民宿、养生茶馆、中医理疗馆等，推出 “康养 + 美食”“康养 + 休闲”“康养 + 研学” 等套餐，吸引中老年游客。 </w:t>
      </w:r>
    </w:p>
    <w:p w14:paraId="6EFA2EA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完善基础设施，提升旅游体验 </w:t>
      </w:r>
    </w:p>
    <w:p w14:paraId="59CA74A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交通路网：加快美丽乡村旅游公路建设，实现主要美丽乡村与高速公路、国道、省道互联互通。完善村内道路硬化、绿化、亮化工程，设置旅游指示牌、导览图等标识系统。开通县城至主要美丽乡村的旅游专线公交，方便游客出行。 </w:t>
      </w:r>
    </w:p>
    <w:p w14:paraId="644190D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配套设施：每个美丽乡村配套建设停车场、旅游厕所、游客服务中心、污水处理设施等基础配套。提升住宿条件，培育一批特色民宿、农家乐，满足不同层次游客需求。建设乡村超市、特色餐饮、休闲步道、健身设施等，提升游客舒适度和满意度。 </w:t>
      </w:r>
    </w:p>
    <w:p w14:paraId="2564223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进智慧旅游建设：在主要美丽乡村部署智慧旅游设备，建设旅游官网、微信公众号、小程序等线上平台，提供景点介绍、线路推荐、预约预订、导航导览、投诉反馈等服务。在重点景区安装监控摄像头、智能充电桩等设施，提升旅游管理和服务水平。 </w:t>
      </w:r>
    </w:p>
    <w:p w14:paraId="7DAA82A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创新运营管理模式，提升可持续发展能力 </w:t>
      </w:r>
    </w:p>
    <w:p w14:paraId="35265A1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引入专业运营主体：通过招商引资、合作共建等方式，引入专业的旅游运营企业、文旅集团参与美丽乡村旅游项目的策划、开发、运营和营销。例如，与海南旅投、华侨城等企业合作，对重点美丽乡村进行整体开发运营，提升专业化水平。 </w:t>
      </w:r>
    </w:p>
    <w:p w14:paraId="4BDD406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培育本土运营力量：加强对村集体、本地运营商、村民的培训，提升其旅游策划、营销、管理和服务能力。成立乡村旅游合作社，组织村民参与旅游服务、农产品销售等，实现 “人人参与、人人受益”。 </w:t>
      </w:r>
    </w:p>
    <w:p w14:paraId="306684E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建立利益联结机制：建立 “企业 + 村集体 + 农户” 的利益联结机制，企业负责投资开发和运营管理，村集体提供土地、资源等，农户通过就业、创业、入股等方式获得收益。例如，农户可将闲置房屋出租给企业打造民宿，或在旅游项目中就业，或参与农产品销售分红。 </w:t>
      </w:r>
    </w:p>
    <w:p w14:paraId="75DCA0E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加强宣传营销，提升品牌影响力 </w:t>
      </w:r>
    </w:p>
    <w:p w14:paraId="66052FA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构建多元化营销体系：整合电视、报纸、广播等传统媒体和微信、抖音、小红书等新媒体平台，开展全方位宣传营销。制作美丽乡村旅游宣传片、宣传手册、网红打卡点推荐等内容，提升品牌知名度。 </w:t>
      </w:r>
    </w:p>
    <w:p w14:paraId="64DB2CD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举办特色旅游活动：每年举办澄迈美丽乡村旅游节、古村落文化节、咖啡文化节等大型活动，吸引游客和媒体关注。鼓励各村镇举办特色主题活动，如采摘节、美食节、民俗节等，形成 “季季有活动、月月有主题” 的营销格局。 </w:t>
      </w:r>
    </w:p>
    <w:p w14:paraId="04C43C6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强区域合作推广：融入海口经济圈旅游推广联盟，与海口、文昌、定安、临高等市县开展联合宣传、线路串联、客源互送。与海南知名旅游景区、旅行社合作，将澄迈美丽乡村旅游纳入海南精品旅游线路，拓展客源市场。</w:t>
      </w:r>
    </w:p>
    <w:p w14:paraId="3EB9CBF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5C8CB69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F77CB1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577A7B7">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lang w:val="en-US" w:eastAsia="zh-CN"/>
        </w:rPr>
        <w:t>三十</w:t>
      </w:r>
      <w:r>
        <w:rPr>
          <w:rFonts w:hint="eastAsia" w:ascii="楷体_GB2312" w:hAnsi="楷体_GB2312" w:eastAsia="楷体_GB2312" w:cs="楷体_GB2312"/>
          <w:sz w:val="28"/>
          <w:szCs w:val="28"/>
        </w:rPr>
        <w:t>、澄迈工业固废资源化利用如何拓展至更多领域，提升综合效益？</w:t>
      </w:r>
    </w:p>
    <w:p w14:paraId="0CD8CDC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626A8C6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澄迈是海南工业大县，工业固废主要来源于油气化工、建材、造纸、电子制造等行业，2024 年工业固废产生量约 80 万吨，主要包括粉煤灰、炉渣、脱硫石膏、建筑垃圾、造纸废渣、电子废弃物等。近年来，澄迈高度重视工业固废资源化利用，已建成海南汉地流体废渣回收利用项目、海南金盘智能废旧设备回收项目等，2024 年工业固废资源化利用率达 65%，较 2020 年提升 20 个百分点，取得了一定的环境效益和经济效益。</w:t>
      </w:r>
    </w:p>
    <w:p w14:paraId="75AC461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但当前澄迈工业固废资源化利用仍存在诸多短板：利用领域狭窄，主要集中在建材生产（如粉煤灰、炉渣用于生产水泥、混凝土骨料）和简单填埋处理，造纸废渣、电子废弃物、危险工业固废等资源化利用领域拓展不足；技术水平较低，缺乏高端资源化利用技术，多为初级加工，产品附加值低，资源利用不充分；产业链不完善，缺乏从固废收集、运输、分拣、加工到产品销售的完整产业链，存在 “收集难、运输贵、加工散、销售窄” 的问题；政策支持不足，缺乏针对性的财政补贴、税收优惠、融资支持等政策，企业参与积极性不高；协同处置机制不健全，不同行业、不同企业间工业固废资源化利用缺乏协同，资源共享和优势互补不足。</w:t>
      </w:r>
    </w:p>
    <w:p w14:paraId="11A5876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工业固废资源化利用是践行绿色发展理念、推动 “双碳” 目标实现、促进工业高质量发展的重要举措。拓展澄迈工业固废资源化利用领域，提升综合效益，不仅能减少环境污染、节约资源，还能培育新的经济增长点，为澄迈工业绿色转型提供有力支撑。</w:t>
      </w:r>
    </w:p>
    <w:p w14:paraId="20C7DB7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7A4167E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拓展多元化资源化利用领域 </w:t>
      </w:r>
    </w:p>
    <w:p w14:paraId="39433B7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扩大传统固废利用范围：在现有建材利用的基础上，拓展粉煤灰、炉渣、脱硫石膏等传统工业固废的利用领域。例如，粉煤灰用于生产陶粒、加气混凝土砌块、道路基层材料等；炉渣用于生产透水砖、路基填料、耐磨材料等；脱硫石膏用于生产石膏板、石膏砌块、石膏腻子等新型建材。推动固废在道路建设、园林绿化、填海造地等工程中的应用。 </w:t>
      </w:r>
    </w:p>
    <w:p w14:paraId="36133FA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拓展新兴固废利用领域：重点拓展造纸废渣、电子废弃物、危险工业固废等新兴领域的资源化利用。造纸废渣可用于生产生物质燃料、有机肥、食用菌培养基等；电子废弃物可通过拆解、分拣，回收铜、铝、铁、塑料等资源，用于再生制造；危险工业固废（如废油、废催化剂）可通过专业处理回收有用成分，或进行无害化处置后资源化利用。 </w:t>
      </w:r>
    </w:p>
    <w:p w14:paraId="48E56C6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推动跨行业协同利用：推动工业固废在不同行业间的协同利用，实现资源共享。例如，将油气化工行业的废催化剂提供给有色金属行业回收贵金属；将造纸废渣提供给农业行业生产有机肥；将电子废弃物回收的塑料、金属提供给制造业企业再生利用。 </w:t>
      </w:r>
    </w:p>
    <w:p w14:paraId="6B0C5C0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提升资源化利用技术水平 </w:t>
      </w:r>
    </w:p>
    <w:p w14:paraId="20D7CA1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引进先进技术与装备：鼓励企业引进国内外先进的工业固废资源化利用技术和装备，提升处理效率和资源回收率。例如，引进电子废弃物自动化拆解设备、危险固废无害化处理设备、固废再生建材生产设备等。对企业引进先进技术和装备的，给予最高 30% 的费用补贴。 </w:t>
      </w:r>
    </w:p>
    <w:p w14:paraId="74DFD2F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强产学研合作：与海南大学、中国热带农业科学院、中科院海南分院等高校和科研机构合作，开展工业固废资源化利用技术研发。重点研发造纸废渣生产高附加值生物质材料、电子废弃物贵金属高效回收、危险固废无害化处置等技术。建立工业固废资源化利用技术研发中心，推动技术成果转化应用。 </w:t>
      </w:r>
    </w:p>
    <w:p w14:paraId="09C7D96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培育技术型企业：扶持本土工业固废资源化利用企业转型升级，培育一批技术先进、竞争力强的龙头企业。鼓励企业开展技术创新，对获得发明专利、技术成果达到国内领先水平的企业，给予最高 100 万元的奖励。 </w:t>
      </w:r>
    </w:p>
    <w:p w14:paraId="3CE0591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构建完善的产业链体系 </w:t>
      </w:r>
    </w:p>
    <w:p w14:paraId="4853DB4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健全固废收集运输体系：建立 “企业收集 + 专业机构运输 + 集中处理” 的固废收集运输体系。要求产生工业固废的企业建立台账，规范收集和暂存；引入专业的固废运输企业，配备专用运输车辆和设备，确保运输安全；建设工业固废集中分拣中心，对固废进行分类、分拣、预处理，提高资源化利用效率。 </w:t>
      </w:r>
    </w:p>
    <w:p w14:paraId="7FD2547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培育加工制造环节：建设工业固废资源化利用产业园，吸引固废加工、再生制造、新型建材等企业入驻，形成产业集群。重点培育再生建材生产、电子废弃物再生利用、生物质燃料生产等产业链核心环节，延伸产业链条，提升产品附加值。 </w:t>
      </w:r>
    </w:p>
    <w:p w14:paraId="59C0A3B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拓展产品销售渠道：搭建工业固废再生产品销售平台，组织企业参加国内外建材展会、环保产业展会等，拓展销售市场。推动政府投资项目优先使用工业固废再生产品，在道路建设、市政工程、保障性住房等项目中，再生建材使用比例不低于 30%。鼓励社会资本投资项目使用再生产品，给予一定的政策优惠。 </w:t>
      </w:r>
    </w:p>
    <w:p w14:paraId="485A8A0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强化政策支持与监管引导 </w:t>
      </w:r>
    </w:p>
    <w:p w14:paraId="1A30B40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加大财政金融支持：设立工业固废资源化利用专项基金，每年安排 2000 万元，用于技术研发、设备引进、项目建设、产品推广等。对工业固废资源化利用企业，给予增值税即征即退、企业所得税减免等税收优惠。鼓励银行机构提供专项信贷支持，给予利率优惠和贷款贴息。 </w:t>
      </w:r>
    </w:p>
    <w:p w14:paraId="5F0545C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强监督管理：严格执行工业固废申报登记、转移联单、无害化处置等制度，加强对企业固废产生、收集、运输、处理等环节的监管。将工业固废资源化利用率纳入企业环保信用评价体系，对利用率高的企业给予评优评先、政策倾斜等奖励；对违法排放、处置工业固废的企业，依法予以处罚。 </w:t>
      </w:r>
    </w:p>
    <w:p w14:paraId="6277CB7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建立激励机制：建立工业固废资源化利用激励机制，对资源化利用率达到一定标准的企业，给予每吨固废 50-200 元的补贴。对在工业固废资源化利用领域作出突出贡献的企业和个人，给予表彰奖励。</w:t>
      </w:r>
    </w:p>
    <w:p w14:paraId="0A28702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067C58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28601E8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C6EF54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4A79DCB5">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rPr>
      </w:pPr>
      <w:bookmarkStart w:id="116" w:name="_Toc17931"/>
      <w:r>
        <w:rPr>
          <w:rFonts w:hint="eastAsia" w:ascii="楷体_GB2312" w:hAnsi="楷体_GB2312" w:eastAsia="楷体_GB2312" w:cs="楷体_GB2312"/>
          <w:sz w:val="28"/>
          <w:szCs w:val="28"/>
          <w:lang w:val="en-US" w:eastAsia="zh-CN"/>
        </w:rPr>
        <w:t>三十一</w:t>
      </w:r>
      <w:r>
        <w:rPr>
          <w:rFonts w:hint="eastAsia" w:ascii="楷体_GB2312" w:hAnsi="楷体_GB2312" w:eastAsia="楷体_GB2312" w:cs="楷体_GB2312"/>
          <w:sz w:val="28"/>
          <w:szCs w:val="28"/>
        </w:rPr>
        <w:t>、澄迈数据跨境流动白名单如何扩容，服务更多产业场景？</w:t>
      </w:r>
      <w:bookmarkEnd w:id="116"/>
    </w:p>
    <w:p w14:paraId="0D66032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核心问题细化背景</w:t>
      </w:r>
    </w:p>
    <w:p w14:paraId="47D7D24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作为海南自贸港数据跨境流动试点区域之一，澄迈依托数字产业园、油气服务产业园等载体，于 2024 年启动数据跨境流动白名单试点工作，首批纳入 3 家企业，涉及油气产业数据、跨境电商数据等领域，累计完成跨境数据传输超 1000GB，为企业开展国际化业务提供了便利。当前，澄迈数据跨境流动白名单试点已取得初步成效：试点企业通过白名单机制，实现了油气勘探开发数据、跨境交易数据的安全有序流动，跨境数据传输时间从原来的 7-10 天缩短至 1-2 天，大幅提升了业务效率；探索建立了数据分类分级、安全评估、风险防控等初步机制，为白名单扩容奠定了基础。</w:t>
      </w:r>
    </w:p>
    <w:p w14:paraId="71889CD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但澄迈数据跨境流动白名单仍存在诸多制约扩容的问题：覆盖范围窄，首批仅 3 家企业入选，主要集中在油气服务和跨境电商领域，未覆盖热带农业、智能制造、乡村旅游等重点产业；产业场景单一，仅支持油气数据、跨境交易数据等少数场景的跨境流动，缺乏对研发数据、物流数据、文旅数据等场景的支持；准入标准不清晰，缺乏明确的企业入选条件、数据分类分级标准和安全评估流程，企业申报无据可依；安全防控体系不完善，缺乏专业的数据安全监测平台和应急处置机制，数据跨境流动风险防控能力不足；服务保障机制不健全，缺乏专门的服务窗口和咨询渠道，企业申报流程繁琐。</w:t>
      </w:r>
    </w:p>
    <w:p w14:paraId="76E00F5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在海南自贸港建设 “数据安全有序流动示范区” 的背景下，扩大澄迈数据跨境流动白名单覆盖范围，服务更多产业场景，对澄迈数字经济高质量发展、提升产业国际化水平具有重要意义。澄迈需依托自贸港政策优势，完善白名单管理制度，优化准入标准，强化安全防控，推动白名单扩容，为更多产业和企业提供数据跨境流动便利。</w:t>
      </w:r>
    </w:p>
    <w:p w14:paraId="42E0F4C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具体细化方向</w:t>
      </w:r>
    </w:p>
    <w:p w14:paraId="573CD63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明确扩容目标与覆盖范围 </w:t>
      </w:r>
    </w:p>
    <w:p w14:paraId="291275F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制定扩容时间表与目标：2025 年底前，将白名单企业数量扩大至 15 家，覆盖油气服务、跨境电商、热带农业、智能制造、文旅康养、物流运输等 6 大重点产业；2026 年底前，白名单企业数量扩大至 30 家，实现重点产业全覆盖，并逐步向中小企业延伸。 </w:t>
      </w:r>
    </w:p>
    <w:p w14:paraId="1D3684E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明确重点覆盖产业场景：油气服务产业：支持油气勘探开发数据、钻采服务数据、设备维修数据、跨境油气贸易数据等跨境流动，服务企业开展国际油气合作业务。 </w:t>
      </w:r>
    </w:p>
    <w:p w14:paraId="0AB83BE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热带农业产业：支持农产品跨境电商数据、农业种植监测数据、农产品溯源数据、国际农产品贸易数据等跨境流动，助力澄迈热带农业品牌拓展东南亚市场。 </w:t>
      </w:r>
    </w:p>
    <w:p w14:paraId="3E96381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智能制造产业：支持工业设计数据、生产监测数据、跨境供应链数据、智能装备研发数据等跨境流动，服务企业承接浙江智能制造产业转移，开展国际化生产经营。 </w:t>
      </w:r>
    </w:p>
    <w:p w14:paraId="21FBA3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文旅康养产业：支持乡村旅游预订数据、文旅产品营销数据、康养服务数据等跨境流动，助力澄迈乡村旅游拓展国际市场。 </w:t>
      </w:r>
    </w:p>
    <w:p w14:paraId="26DE9A3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物流运输产业：支持跨境物流跟踪数据、货运调度数据、港口物流数据等跨境流动，服务马村港与东南亚港口的物流协同。 </w:t>
      </w:r>
    </w:p>
    <w:p w14:paraId="2F04458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跨境电商产业：支持商品交易数据、订单数据、支付数据、物流数据等跨境流动，提升跨境电商企业运营效率。 </w:t>
      </w:r>
    </w:p>
    <w:p w14:paraId="74E5917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优化白名单准入标准与申报流程 </w:t>
      </w:r>
    </w:p>
    <w:p w14:paraId="23BA142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制定清晰的准入标准：明确白名单企业入选条件，包括企业资质（依法注册、合规经营、信用良好）、数据安全能力（建立数据安全管理制度、配备数据安全管理人员、具备数据安全技术防护能力）、数据类型（符合数据分类分级要求，非敏感数据或已完成脱敏处理的敏感数据）、产业贡献（属于澄迈重点产业，具有明确的跨境数据流动需求和产业带动作用）等。 </w:t>
      </w:r>
    </w:p>
    <w:p w14:paraId="0FDFA3F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分类设定准入条件：针对大型企业和中小企业实行差异化准入标准，对中小企业适当降低门槛，重点考核数据安全基本保障能力和产业发展潜力。对重点产业链龙头企业、高新技术企业给予优先入选资格。 </w:t>
      </w:r>
    </w:p>
    <w:p w14:paraId="5BFB152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简化申报与审核流程：建立 “线上申报 + 线下核验” 的申报模式，企业通过澄迈县政务服务网提交申报材料。设立白名单审核专班，由网信、工信、商务、公安等部门组成，实行 “一窗受理、并联审核”，审核时限压缩至 10 个工作日。审核通过的企业，纳入白名单并向社会公示，公示期 3 个工作日。 </w:t>
      </w:r>
    </w:p>
    <w:p w14:paraId="1B5DFD7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完善数据安全防控体系 </w:t>
      </w:r>
    </w:p>
    <w:p w14:paraId="16DCC2C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数据分类分级制度：参照《海南自由贸易港数据安全条例》，制定澄迈数据分类分级实施细则，将数据分为一般数据、重要数据、敏感数据，明确不同级别数据的跨境流动要求。一般数据可直接跨境流动，重要数据需进行安全评估，敏感数据需经脱敏处理后再跨境流动。 </w:t>
      </w:r>
    </w:p>
    <w:p w14:paraId="7B705E5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数据安全评估：对纳入白名单的企业，每年开展一次数据跨境流动安全评估，评估内容包括数据安全管理制度执行情况、技术防护措施落实情况、数据跨境流动风险防控情况等。鼓励企业委托第三方专业机构开展安全评估，评估结果作为白名单动态调整的重要依据。 </w:t>
      </w:r>
    </w:p>
    <w:p w14:paraId="3EA2E43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建设数据安全监测平台：依托海南自贸港数据安全监测平台，建设澄迈分平台，对数据跨境流动进行实时监测，重点监测数据传输量、传输方向、访问日志等，及时发现异常流动风险，实现智能预警和快速响应。 </w:t>
      </w:r>
    </w:p>
    <w:p w14:paraId="6250650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应急处置机制：制定数据跨境流动安全应急预案，明确应急响应流程、责任分工、处置措施等。定期组织企业开展应急演练，提升应急处置能力。对发生数据泄露等安全事件的企业，立即暂停其白名单资格，责令限期整改，整改不合格的移出白名单。 </w:t>
      </w:r>
    </w:p>
    <w:p w14:paraId="1FB35B4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强化服务保障与动态管理 </w:t>
      </w:r>
    </w:p>
    <w:p w14:paraId="5C5FF38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建立专门服务机制：设立数据跨境流动白名单服务窗口，提供政策咨询、申报指导、问题解答等 “一站式” 服务。组建专家咨询团队，为企业提供数据分类分级、安全评估、技术防护等专业指导。 </w:t>
      </w:r>
    </w:p>
    <w:p w14:paraId="46B78DB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加强企业培训指导：定期组织白名单企业开展数据安全法律法规、政策标准、技术防护等培训，每年不少于 2 场，提升企业数据安全管理水平。 </w:t>
      </w:r>
    </w:p>
    <w:p w14:paraId="3FF3514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实行动态管理机制：对白名单企业实行 “一年一复核”，根据企业数据安全评估结果、合规经营情况、产业贡献等进行动态调整。对符合条件的新申报企业及时纳入；对不再符合条件的企业，移出白名单并向社会公示。建立白名单企业信用档案，对存在违法违规行为的企业，列入失信名单，3 年内不得再次申报。 </w:t>
      </w:r>
    </w:p>
    <w:p w14:paraId="0EB824E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深化政策支持与协同联动 </w:t>
      </w:r>
    </w:p>
    <w:p w14:paraId="7DDAF9D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加大政策支持力度：对纳入白名单的企业，给予数据安全技术改造补贴，补贴比例最高达 50%，单个企业补贴金额不超过 200 万元；对委托第三方机构开展数据安全评估的企业，给予评估费用 50% 的补贴。将白名单企业纳入澄迈县重点企业扶持范围，在融资贷款、用地保障、人才引育等方面给予优先支持。 </w:t>
      </w:r>
    </w:p>
    <w:p w14:paraId="43609E1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强跨部门协同联动：建立网信、工信、商务、公安、海关、税务等部门协同联动机制，定期召开联席会议，协调解决数据跨境流动中的问题。加强与海南省级数据安全监管部门的沟通对接，争取政策支持和业务指导，确保白名单工作与全省数据跨境流动试点工作保持一致。 </w:t>
      </w:r>
    </w:p>
    <w:p w14:paraId="295E3C4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动区域协同合作：加强与海口、洋浦等数据跨境流动试点区域的合作，共享数据安全监测信息、白名单企业资源、最佳实践经验等，形成区域协同发展格局。探索与东南亚国家相关机构建立数据跨境流动互认机制，为企业开展国际业务提供便利。</w:t>
      </w:r>
    </w:p>
    <w:p w14:paraId="2E35B0D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3E517C7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65779A4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0FBF69D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9563E1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rPr>
      </w:pPr>
    </w:p>
    <w:p w14:paraId="7A5A9AFD">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lang w:val="en-US" w:eastAsia="zh-CN"/>
        </w:rPr>
      </w:pPr>
      <w:bookmarkStart w:id="117" w:name="_Toc8150"/>
      <w:r>
        <w:rPr>
          <w:rFonts w:hint="eastAsia" w:ascii="楷体_GB2312" w:hAnsi="楷体_GB2312" w:eastAsia="楷体_GB2312" w:cs="楷体_GB2312"/>
          <w:sz w:val="28"/>
          <w:szCs w:val="28"/>
          <w:lang w:val="en-US" w:eastAsia="zh-CN"/>
        </w:rPr>
        <w:t>三十二、澄迈如何争取更多自贸港政策试点，形成差异化优势？</w:t>
      </w:r>
      <w:bookmarkEnd w:id="117"/>
    </w:p>
    <w:p w14:paraId="08F9128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0878A0F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海南自贸港建设进入封关运作倒计时，各市县围绕制度创新、产业升级展开差异化竞争。澄迈作为海南工业大县、农业强县和海口经济圈重要成员，已在油气服务、跨境数据流动、乡村旅游等领域积累政策试点基础（如数据跨境流动白名单首批试点、油气服务产业园政策落地），但相较于海口、三亚、洋浦等区域，存在政策试点覆盖面窄、产业适配度不足、创新转化效率偏低等问题。</w:t>
      </w:r>
    </w:p>
    <w:p w14:paraId="7BDECA4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当前，澄迈政策试点面临三大短板：一是试点领域集中在传统产业，数字经济、绿色低碳、跨境服务等新兴领域试点缺失；二是政策碎片化明显，未形成 “产业 + 政策 + 场景” 的协同试点体系；三是与海口、洋浦的政策协同不足，未能依托海口经济圈实现试点资源共享。在自贸港 “零关税、低税率、简税制” 等核心政策普惠化背景下，澄迈亟需争取针对性试点政策，通过 “错位竞争 + 协同互补” 形成差异化优势，为油气服务、热带高效农业、文旅康养等主导产业赋能。</w:t>
      </w:r>
    </w:p>
    <w:p w14:paraId="4FD9019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6C6BBA1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锚定主导产业，争取专项政策试点 </w:t>
      </w:r>
    </w:p>
    <w:p w14:paraId="60F0B29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油气服务产业：依托油气服务产业园，争取 “油气服务跨境服务贸易负面清单” 试点，允许境外油气服务企业在澄迈开展临时执业、设备跨境租赁等业务，简化跨境服务资质互认流程。申请油气产业相关 “零关税” 商品扩大试点，将油气勘探开发专用设备、维修零部件等纳入 “零关税” 清单，降低企业运营成本。借鉴洋浦油气加工增值政策，争取油气服务产业 “加工增值超 30% 免关税” 试点，推动油气服务配套加工产业落地。 </w:t>
      </w:r>
    </w:p>
    <w:p w14:paraId="103AA78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热带高效农业：围绕福山咖啡、桥头地瓜等特色农产品，争取 “农产品跨境电商零售进口监管创新” 试点，简化生鲜农产品跨境通关流程，允许采用 “先通关后检疫” 模式。申请 “农产品保税加工” 试点，在金马物流中心设立农产品保税加工区，开展咖啡深加工、果蔬冻干等业务，提升产品附加值。争取 “农业跨境投融资便利化” 试点，允许农业龙头企业通过 QFLP/QDLP 基金引入境外资金，用于农业技术研发和产业链升级。 </w:t>
      </w:r>
    </w:p>
    <w:p w14:paraId="2DF7FEA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文旅康养产业：结合乡村旅游提质升级需求，争取 “康养旅游跨境服务” 试点，允许境外医疗机构在澄迈设立分支机构，开展跨境康养服务，试点 “国际医保直接结算”。申请 “文旅消费跨境支付便利化” 试点，支持境外游客使用外卡支付乡村旅游消费场景，简化跨境消费退税流程。借鉴三亚邮轮游艇政策，争取 “小型游艇跨境游” 试点，开通澄迈马村港至东南亚周边港口的短途游艇航线。 </w:t>
      </w:r>
    </w:p>
    <w:p w14:paraId="258845BA">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聚焦新兴领域，抢占政策试点先机 </w:t>
      </w:r>
    </w:p>
    <w:p w14:paraId="5E50BDE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数字经济领域：依托现有数据跨境流动白名单试点，争取 “工业数据跨境流动” 专项试点，允许油气服务、智能制造等领域企业开展工业数据跨境传输，制定工业数据分类分级标准和安全评估流程。申请 “数字贸易产业园” 试点，享受跨境数据流动、数字服务税收优惠等政策，吸引数字服务、跨境电商等企业集聚。 </w:t>
      </w:r>
    </w:p>
    <w:p w14:paraId="6BE759B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绿色低碳领域：争取 “蓝碳交易” 试点，依托澄迈红树林湿地资源，建立红树林碳汇计量监测体系，接入海南国际碳排放权交易中心，开展碳汇跨境交易。申请 “绿色能源产业” 试点，享受新能源项目建设补贴、绿电交易优惠等政策，推动分布式光伏、储能电站与油气产业园、农业园区融合发展。 </w:t>
      </w:r>
    </w:p>
    <w:p w14:paraId="4E19CBF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跨境服务领域：依托海口经济圈协同优势，争取 “跨境专业服务” 试点，推动法律、会计、工程咨询等专业服务机构跨境执业，实现与海口、文昌的资质互认。申请 “离岸服务外包” 试点，对油气服务、数字服务等领域离岸外包业务给予税收返还和资金支持。 </w:t>
      </w:r>
    </w:p>
    <w:p w14:paraId="0B15956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强化区域协同，争取联动试点政策 </w:t>
      </w:r>
    </w:p>
    <w:p w14:paraId="6BA7917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融入海口经济圈政策协同：与海口共同争取 “海口经济圈跨境通勤便利化” 试点，简化澄迈与海口之间的跨境人员、车辆、货物流动手续，实现 “一地注册、全域经营”。联合海口申请 “临空经济 + 临港经济” 联动试点，依托海口美兰机场、澄迈马村港，打造 “空港 + 海港” 联动的跨境物流试点区，享受物流通关一体化、保税仓储共享等政策。 </w:t>
      </w:r>
    </w:p>
    <w:p w14:paraId="3AA77D4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对接洋浦产业政策互补：争取 “油气产业跨区域政策延伸” 试点，将洋浦油气加工增值、离岸贸易等政策延伸至澄迈油气服务产业园，实现 “洋浦加工 + 澄迈服务” 的产业协同。与洋浦共同申请 “油气产业绿色低碳联动试点”，推动油气服务与新能源产业融合，开展油气田碳捕集、海上风电配套服务等业务。 </w:t>
      </w:r>
    </w:p>
    <w:p w14:paraId="5D979D7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完善试点保障机制，提升政策转化效率 </w:t>
      </w:r>
    </w:p>
    <w:p w14:paraId="427FC04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 “政策试点申报 - 落地 - 评估” 闭环：成立由县政府牵头，发改、工信、商务、农业等部门组成的政策试点工作专班，定期梳理产业痛点，对接省自贸港工委办公室、省发改委等部门，精准申报试点政策。建立试点政策落地跟踪机制，对每个试点政策明确责任单位、实施步骤和预期成效，每月调度进展。引入第三方机构对试点政策实施效果进行评估，形成 “试点 - 优化 - 推广” 的良性循环。 </w:t>
      </w:r>
    </w:p>
    <w:p w14:paraId="0E3F963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打造政策试点应用场景：围绕油气服务产业园、金马物流中心、福山咖啡文化风情镇等载体，规划政策试点应用场景。例如，在油气服务产业园搭建跨境数据流动、设备跨境租赁场景；在金马物流中心打造农产品保税加工、跨境电商场景；在乡村旅游点构建跨境康养、跨境支付场景，确保政策试点 “有载体、能落地、见成效”。 </w:t>
      </w:r>
    </w:p>
    <w:p w14:paraId="45E274E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强化政策宣传与企业培育：通过政策宣讲会、企业走访等形式，向企业解读自贸港政策试点申报流程和利好，引导企业结合自身需求提出试点建议。培育政策试点示范企业，选取油气服务、农业、文旅等领域龙头企业作为试点先行主体，总结可复制推广的经验，为争取更多试点政策奠定基础。</w:t>
      </w:r>
    </w:p>
    <w:p w14:paraId="1E9E285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0B6F9DE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30A697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42411C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53B88F5">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三十三、海口经济圈零工市场如何协同发展，保障灵活就业人员权益？</w:t>
      </w:r>
    </w:p>
    <w:p w14:paraId="0CAC50C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5C06683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随着数字经济发展和产业结构调整，海口经济圈（含海口、澄迈、文昌、定安、临高）灵活就业规模持续扩大，零工市场涵盖网约车司机、外卖配送员、家政服务人员、跨境电商主播、农业零工等多个群体，其中澄迈仅家政服务、农业零工、油气服务临时用工等群体规模即超 3 万人。当前，海口经济圈零工市场呈现 “各自为战” 的格局，存在三大突出问题：</w:t>
      </w:r>
    </w:p>
    <w:p w14:paraId="5C78581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是市场分割严重，各市县零工市场信息不通、资源分散，澄迈零工难以获取海口、文昌等周边市县的就业信息，跨区域就业成本高；二是权益保障不足，灵活就业人员普遍面临劳动合同缺失、社保缴纳困难、工伤理赔难、薪酬拖欠等问题，澄迈农业零工、临时建筑工人的权益保障尤为薄弱；三是服务体系不完善，缺乏统一的零工市场服务平台、技能培训体系和权益维权渠道，灵活就业人员职业发展空间受限。</w:t>
      </w:r>
    </w:p>
    <w:p w14:paraId="0A15661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海口经济圈一体化发展背景下，协同推进零工市场建设、保障灵活就业人员权益，既是稳定就业、促进共同富裕的必然要求，也是优化营商环境、激发市场活力的重要举措，对澄迈而言，更是解决农村剩余劳动力就业、提升油气服务等产业临时用工保障的关键路径。</w:t>
      </w:r>
    </w:p>
    <w:p w14:paraId="5FDE5DE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6DBE78A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构建一体化零工市场服务体系 </w:t>
      </w:r>
    </w:p>
    <w:p w14:paraId="42B0177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搭建跨区域信息共享平台：由海口牵头，联合澄迈、文昌等市县，建设海口经济圈零工市场线上服务平台，整合就业信息发布、技能培训、社保咨询、权益维权等功能。平台设置澄迈特色板块，重点发布油气服务临时用工、农业采摘、家政服务等本地零工岗位，同步接入海口网约车、跨境电商主播等跨区域岗位信息，实现 “一键查询、精准匹配”。线下在澄迈金马物流中心、福山咖啡文化风情镇、各镇（乡）便民服务中心设立零工市场服务站点，与海口、文昌等市县服务站点实现信息互通、岗位互推。 </w:t>
      </w:r>
    </w:p>
    <w:p w14:paraId="01702EF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零工技能协同培训机制：整合海口经济圈职业培训资源，针对澄迈零工群体特点，开展定制化培训。联合海口职业技术学院、海南经贸职业技术学院等院校，开设油气服务基础技能、家政服务、跨境电商运营等培训课程，澄迈零工可凭身份证明享受免费或补贴性培训。建立培训证书互认制度，在澄迈考取的技能证书在海口、文昌等市县通用，提升零工就业竞争力。针对农业零工、临时建筑工人等群体，开展安全生产、应急处理等专项培训，降低就业风险。 </w:t>
      </w:r>
    </w:p>
    <w:p w14:paraId="3D8D455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健全跨区域权益保障机制 </w:t>
      </w:r>
    </w:p>
    <w:p w14:paraId="463400C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规范零工劳动关系：制定海口经济圈零工市场劳动关系指引，明确平台企业、用工单位与零工的权利义务，推行 “简易劳动合同”“电子劳动合同” 制度，要求用工单位与零工签订书面或电子协议，明确工作内容、薪酬标准、工作时长等核心条款。针对澄迈农业零工、油气服务临时用工等流动性强的群体，推行 “日结清单” 制度，确保薪酬当日结清，杜绝拖欠。 </w:t>
      </w:r>
    </w:p>
    <w:p w14:paraId="035790C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优化社保缴纳与工伤保障：推动海口经济圈灵活就业人员社保参保便利化，允许澄迈零工在平台或线下服务站点办理社保参保、缴费、转移等业务，支持选择按季度、半年缴费。争取省级支持，在海口经济圈试点 “灵活就业人员工伤保险统筹”，平台企业、用工单位按一定比例缴纳工伤保险费，零工发生工伤后可在经济圈内任一市县申请理赔。探索 “商业保险 + 社保” 互补模式，鼓励保险公司开发针对零工群体的低成本意外险、医疗险产品，政府给予一定保费补贴。 </w:t>
      </w:r>
    </w:p>
    <w:p w14:paraId="1FEFABA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跨区域维权通道：设立海口经济圈零工权益维权热线和线上投诉平台，统一受理澄迈及其他市县零工的薪酬拖欠、工伤纠纷等投诉。建立跨区域劳动争议调解仲裁机制，澄迈与海口、文昌等市县共享劳动争议仲裁资源，实行 “就近受理、异地协作”，缩短维权周期。联合组建零工权益法律援助团队，为澄迈零工提供免费法律咨询、代写法律文书、代理仲裁诉讼等服务。 </w:t>
      </w:r>
    </w:p>
    <w:p w14:paraId="2A11218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强化零工市场协同监管 </w:t>
      </w:r>
    </w:p>
    <w:p w14:paraId="779F2C4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规范市场主体行为：对海口经济圈零工市场的平台企业、用工单位、中介机构实行统一备案管理，建立信用评价体系。重点监管澄迈油气服务产业园、跨境电商园区等用工集中区域，严厉打击虚假招聘、恶意克扣薪酬、违规收取中介费等行为。建立黑名单制度，将严重违法违规的市场主体纳入黑名单，在经济圈内实行联合惩戒。 </w:t>
      </w:r>
    </w:p>
    <w:p w14:paraId="55629B3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数据监测与风险预警：依托海口经济圈零工市场线上服务平台，建立零工就业数据监测体系，重点跟踪澄迈零工就业规模、薪酬水平、行业分布等动态，为政策制定提供数据支撑。针对农业零工、临时建筑工人等季节性用工群体，建立就业风险预警机制，提前发布用工需求预测和技能培训提示，引导零工有序就业。 </w:t>
      </w:r>
    </w:p>
    <w:p w14:paraId="0A08A31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推动零工市场与产业协同发展 </w:t>
      </w:r>
    </w:p>
    <w:p w14:paraId="58D575E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对接主导产业用工需求：围绕澄迈油气服务、文旅康养、热带高效农业等主导产业，建立 “产业用工需求清单”，在海口经济圈零工市场平台定向发布。针对油气服务产业园临时用工需求，组建专业化零工队伍，开展设备搬运、场地维护、辅助施工等服务；结合福山咖啡文化风情镇旅游旺季用工需求，定向输送餐饮服务、导游讲解等零工人员。 </w:t>
      </w:r>
    </w:p>
    <w:p w14:paraId="58864EB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培育零工经济新业态：依托海口经济圈跨境电商、直播电商等产业优势，支持澄迈零工参与跨境电商直播、农产品电商运营等新业态。联合海口开展零工创业扶持试点，为澄迈有创业意愿的零工提供创业培训、小额贷款、场地支持等服务，鼓励发展家政服务工作室、农业采摘合作社等创业项目。</w:t>
      </w:r>
    </w:p>
    <w:p w14:paraId="0AABD63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3BF28B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A395A0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262413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34BEA417">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三十四、澄迈福山咖啡文化风情镇创 4A 后，如何提升运营管理水平？</w:t>
      </w:r>
    </w:p>
    <w:p w14:paraId="50C8301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3C0CDA3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澄迈福山咖啡文化风情镇于 2024 年成功创建国家 4A 级旅游景区，成为澄迈文旅产业的核心载体。目前，风情镇已形成以咖啡种植、加工、品鉴为核心，融合休闲观光、乡村旅游、文化体验的产业格局，年接待游客超 150 万人次，带动就业超 3000 人。但创 4A 后，风情镇运营管理面临 “提质升级” 的迫切需求，现存四大突出问题：</w:t>
      </w:r>
    </w:p>
    <w:p w14:paraId="46A29E0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是业态同质化严重，核心业态仍以咖啡餐饮、观光游览为主，缺乏沉浸式、体验式、高端化文旅产品；二是运营管理机制不健全，存在多头管理（文旅、镇政府、运营公司职责交叉）、服务标准化不足、应急处置能力薄弱等问题；三是基础设施与配套服务滞后，停车场不足、智慧旅游设施覆盖率低、标识系统不规范、高端住宿配套缺失；四是品牌影响力与市场拓展不足，缺乏常态化营销活动，客源主要集中在海口经济圈，国际客源和岛外长线客源占比偏低。</w:t>
      </w:r>
    </w:p>
    <w:p w14:paraId="2F219A1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作为澄迈文旅康养产业的龙头景区，福山咖啡文化风情镇需以创 4A 为契机，通过系统化运营管理升级，实现从 “景区达标” 到 “产业赋能” 的转型，打造成为海南乡村旅游提质升级的标杆、海口经济圈文旅协同的重要节点。</w:t>
      </w:r>
    </w:p>
    <w:p w14:paraId="11AB1C9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4D826BB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优化业态布局，丰富文旅产品供给 </w:t>
      </w:r>
    </w:p>
    <w:p w14:paraId="37C5968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深化咖啡核心业态：建设咖啡文化体验综合体，包含咖啡博物馆、咖啡烘焙工坊、高端品鉴中心等，推出 “咖啡种植采摘 - 烘焙加工 - 手工冲泡” 全流程体验项目。引入咖啡主题文创 IP，开发咖啡文创产品、咖啡主题伴手礼，建立文创产品展销中心。举办常态化咖啡主题活动，如国际咖啡品鉴会、咖啡拉花大赛、咖啡文化节等，提升品牌专业性和影响力。 </w:t>
      </w:r>
    </w:p>
    <w:p w14:paraId="727AF36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拓展多元融合业态：依托风情镇周边农田资源，开发 “咖啡 + 农业” 体验项目，建设咖啡主题农场、果蔬采摘园，推出 “咖啡研学 + 农业体验” 套餐。引入文旅康养业态，建设咖啡主题民宿、康养中心，开发咖啡 SPA、咖啡养生餐等产品，对接海口、三亚高端客群。布局夜间经济业态，打造咖啡主题夜市、灯光秀、露天音乐会等场景，延长游客停留时间。 </w:t>
      </w:r>
    </w:p>
    <w:p w14:paraId="48B008A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培育高端定制业态：针对企业团建、商务会议、研学旅行等群体，推出定制化服务套餐，提供咖啡主题团建活动、商务品鉴会、研学课程等。与海口、三亚高端酒店、旅行社合作，开发 “福山咖啡 + 海口免税 + 三亚度假” 跨区域旅游线路，吸引岛外长线客源。 </w:t>
      </w:r>
    </w:p>
    <w:p w14:paraId="12BED21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完善运营管理机制，提升服务标准化水平 </w:t>
      </w:r>
    </w:p>
    <w:p w14:paraId="470F66C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建立一体化管理体系：明确景区管理委员会统筹协调职责，整合文旅、镇政府、运营公司力量，实行 “统一规划、统一运营、统一营销、统一管理”。引入专业文旅运营团队，负责景区日常运营、产品开发、服务提升等工作，建立 “周调度、月评估、季总结” 的运营机制。制定景区运营管理手册，明确服务标准、安全规范、应急流程等，对景区工作人员开展常态化培训，提升服务专业性。 </w:t>
      </w:r>
    </w:p>
    <w:p w14:paraId="367FF7D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推进服务标准化建设：参照国家 4A 级景区服务标准，优化游客服务中心功能，提供咨询引导、票务办理、行李寄存、投诉处理等一站式服务。规范景区标识系统，统一设计风格、语言语种（中文、英文、俄文），完善导览图、指示牌、警示标识等。提升餐饮住宿服务质量，对景区内餐饮商家实行食品安全分级管理，推动民宿标准化改造，纳入星级评定体系。 </w:t>
      </w:r>
    </w:p>
    <w:p w14:paraId="1D0F1F8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升级基础设施，构建智慧旅游体系 </w:t>
      </w:r>
    </w:p>
    <w:p w14:paraId="5E4317B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补齐基础设施短板：扩建生态停车场，新增停车位 500 个以上，引入智能停车系统，实现无感支付、车位预约。完善景区道路系统，拓宽主要游览步道，增设无障碍通道和休息驿站。升级卫生间、母婴室等公共设施，达到 “干净、卫生、便捷、人性化” 标准。 </w:t>
      </w:r>
    </w:p>
    <w:p w14:paraId="2B401CB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建设智慧旅游平台：开发景区官方小程序，整合门票预订、导览讲解、餐饮住宿预约、投诉反馈等功能，实现 “一键游福山”。部署智能监控、人流统计、环境监测等设备，实时掌握景区运营状态，优化客流疏导和应急处置。引入 VR/AR 技术，开发虚拟咖啡博物馆、沉浸式咖啡体验等项目，提升游客互动体验。 </w:t>
      </w:r>
    </w:p>
    <w:p w14:paraId="248448A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强化品牌营销与市场拓展，提升客源质量 </w:t>
      </w:r>
    </w:p>
    <w:p w14:paraId="11D1659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多元化营销矩阵：整合电视、报纸等传统媒体与微信、抖音、小红书等新媒体，制作高质量宣传视频、图文内容，推广景区特色产品和活动。与旅游博主、网红达人合作，开展直播带货、探店打卡等活动，扩大线上影响力。加入海南旅游推广联盟，参与国内外旅游展会，推介福山咖啡文化旅游产品。 </w:t>
      </w:r>
    </w:p>
    <w:p w14:paraId="64211F2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深化区域协同营销：与海口火山口地质公园、文昌航天发射中心、定安文笔峰等海口经济圈景区合作，推出联票、跨区域旅游线路，实现客源互送。依托海口美兰机场、高铁站等交通枢纽，投放广告宣传，吸引过境游客。对接粤港澳大湾区、长三角等重点客源地，开展专场旅游推介会，拓展岛外长线市场。 </w:t>
      </w:r>
    </w:p>
    <w:p w14:paraId="3FAD5E7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拓展国际客源市场：借助海南自贸港国际旅游消费中心建设机遇，优化多语种服务（英文、俄文、韩文），对接境外旅行社和在线旅游平台（OTA），将福山咖啡文化风情镇纳入国际旅游线路。争取 “入境旅游便利化” 试点，简化境外游客支付流程，支持外卡支付和数字人民币支付，提升国际游客体验。 </w:t>
      </w:r>
    </w:p>
    <w:p w14:paraId="24F32C1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强化利益联结与可持续发展 </w:t>
      </w:r>
    </w:p>
    <w:p w14:paraId="62E01E5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带动本地居民增收：建立 “景区 + 村集体 + 农户” 利益联结机制，优先吸纳本地居民参与景区运营（如服务人员、讲解员、农业体验导师等）。鼓励本地居民开发民宿、餐饮、文创产品等配套产业，景区给予租金减免、营销支持等政策。将景区部分收益用于周边村庄基础设施建设和公共服务提升，实现 “景区发展、村民受益”。 </w:t>
      </w:r>
    </w:p>
    <w:p w14:paraId="48E69E4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推动绿色低碳发展：践行生态旅游理念，推广太阳能、风能等可再生能源，建设生态厕所、垃圾分类处理设施，实现景区污水零排放、垃圾无害化处理。保护景区内自然植被和耕地资源，合理规划游览线路，避免过度开发。开展绿色旅游宣传，引导游客践行低碳旅游行为。</w:t>
      </w:r>
    </w:p>
    <w:p w14:paraId="3561541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5F66D93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7D703A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0D1FE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591CC362">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三十五、澄迈如何推动油气服务产业与数字经济融合，打造智慧油服生态？</w:t>
      </w:r>
    </w:p>
    <w:p w14:paraId="398F19E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51610C8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澄迈油气服务产业园是海南唯一以油气服务为主导的专业园区，已集聚油气勘探开发、设备维修、技术服务等企业 100 余家，2024 年产业营收超 80 亿元，成为海口经济圈工业支柱产业之一。当前，全球油气产业正加速向数字化、智能化转型，大数据、人工智能、物联网、区块链等数字技术已广泛应用于油气勘探、生产、服务等环节。</w:t>
      </w:r>
    </w:p>
    <w:p w14:paraId="1C7A905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油气服务产业与数字经济融合仍处于初级阶段，存在三大突出瓶颈：一是数字基础设施薄弱，园区缺乏专用工业互联网平台、数据存储与算力设施，油气服务数据分散在各企业，未形成共享体系；二是融合应用场景不足，数字技术主要应用于办公自动化、简单设备监控等层面，在油气远程运维、智能勘探、跨境服务协同等高端场景应用缺失；三是数字人才与企业短缺，缺乏油气数字化服务企业和复合型人才，难以支撑融合创新。</w:t>
      </w:r>
    </w:p>
    <w:p w14:paraId="4006408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在海南自贸港建设 “数字贸易示范区” 和 “智慧海南” 的背景下，推动油气服务产业与数字经济融合，打造智慧油服生态，是澄迈提升油气服务产业核心竞争力、实现产业转型升级的关键路径，也是差异化于洋浦油气加工、海口油气贸易的核心优势。</w:t>
      </w:r>
    </w:p>
    <w:p w14:paraId="2C35A8D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7EB0B79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建设数字基础设施，夯实融合发展基础 </w:t>
      </w:r>
    </w:p>
    <w:p w14:paraId="2DAA7A7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搭建油气服务工业互联网平台：由政府牵头，联合国内油气数字化龙头企业、科研机构，建设澄迈油气服务工业互联网平台，涵盖数据采集、存储、分析、应用等功能。平台设置设备管理、远程运维、供应链协同、跨境服务等模块，接入园区企业生产设备、运营数据，实现数据共享和协同调度。争取省级专项资金支持，将平台纳入海南工业互联网重点平台培育名单，享受政策补贴和资源倾斜。 </w:t>
      </w:r>
    </w:p>
    <w:p w14:paraId="5AB5E3E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完善数字硬件设施：在油气服务产业园部署 5G 基站、物联网传感器、边缘计算节点等设施，实现园区 5G 信号全覆盖、关键生产区域物联网感知全覆盖。建设油气服务专用数据中心，满足企业数据存储、算力需求，符合数据安全和跨境流动相关规定。搭建卫星通信保障系统，为海上油气服务企业提供稳定通信服务，支撑远程作业和应急处置。 </w:t>
      </w:r>
    </w:p>
    <w:p w14:paraId="1589ED5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培育融合应用场景，推动产业数字化转型 </w:t>
      </w:r>
    </w:p>
    <w:p w14:paraId="36412C1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油气服务智能运维场景：鼓励园区企业与数字技术企业合作，开发油气设备远程监控、预测性维护系统，通过物联网传感器采集设备运行数据，利用 AI 算法预测故障风险，降低维修成本。试点油气服务无人机巡检、水下机器人作业等数字化应用，提升勘探开发、设备维修等环节的效率和安全性。 </w:t>
      </w:r>
    </w:p>
    <w:p w14:paraId="0B5D060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跨境服务协同场景：依托澄迈数据跨境流动白名单试点，推动油气服务数据跨境安全流动，实现境外油气项目与澄迈服务团队的实时数据交互。搭建油气服务跨境协同平台，整合境外项目需求、澄迈服务资源、跨境物流信息等，实现跨境服务订单在线对接、合同签订、资金结算等全流程数字化。 </w:t>
      </w:r>
    </w:p>
    <w:p w14:paraId="48F81C9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供应链数字化场景：建设油气服务供应链数字化平台，整合设备采购、零部件供应、物流运输、仓储管理等环节，实现供应链可视化、智能化调度。引入区块链技术，建立油气服务设备和零部件溯源体系，保障产品质量和跨境物流效率。与洋浦、海口物流枢纽联动，实现供应链资源共享和协同配送。 </w:t>
      </w:r>
    </w:p>
    <w:p w14:paraId="35486D3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强化主体培育与人才引育，激活融合创新动能 </w:t>
      </w:r>
    </w:p>
    <w:p w14:paraId="114049A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引进培育数字经济主体：制定专项招商政策，吸引油气数字化服务企业、工业软件企业、大数据分析企业入驻园区，形成 “油气服务 + 数字技术” 产业集群。支持园区现有油气服务企业数字化转型，对企业开展数字化改造、引入数字技术系统给予资金补贴（最高不超过项目投资额的 30%）。培育本土数字技术服务商，鼓励本地企业与高校、科研机构合作，开展油气数字化技术研发和应用。 </w:t>
      </w:r>
    </w:p>
    <w:p w14:paraId="0F473AF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构建复合型人才体系：与海南大学、中国石油大学等高校合作，开设油气数字化相关专业课程，定向培养油气工程 + 数字技术复合型人才。制定人才专项政策，对油气数字化领域高层次人才给予住房补贴、子女入学、科研经费支持等优惠。举办油气数字化创新大赛、行业论坛等活动，吸引国内外高端人才和创新团队落地澄迈。 </w:t>
      </w:r>
    </w:p>
    <w:p w14:paraId="442F737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完善政策支持与安全保障，优化融合发展环境 </w:t>
      </w:r>
    </w:p>
    <w:p w14:paraId="5F9D7FB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出台专项扶持政策：制定《澄迈县推动油气服务产业与数字经济融合发展的若干措施》，从数字基础设施建设、融合场景试点、企业培育、人才引育等方面给予支持。设立油气数字化产业发展基金，规模不低于 5000 万元，用于支持重点项目建设、企业数字化转型和技术研发。争取省级层面支持，将澄迈油气服务数字化纳入海南自贸港数字经济创新试点，享受相关政策红利。 </w:t>
      </w:r>
    </w:p>
    <w:p w14:paraId="49B3655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数据安全保障：建立油气服务数据安全管理体系，制定数据分类分级标准、安全评估流程和应急处置预案。建设数据安全监测平台，对园区企业数据采集、传输、存储、使用等环节进行实时监测，防范数据泄露风险。严格落实数据跨境流动安全管理要求，确保数据跨境流动合规有序。 </w:t>
      </w:r>
    </w:p>
    <w:p w14:paraId="3CCE806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推动区域协同融合：与海口国家高新技术产业开发区合作，共享数字基础设施和人才资源，吸引海口数字技术企业为澄迈油气服务产业提供支持。与洋浦经济开发区联动，推动油气加工与油气服务数字化协同，实现 “加工数据 + 服务数据” 互通，提升产业链整体效率。</w:t>
      </w:r>
    </w:p>
    <w:p w14:paraId="28ADF5C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B5B736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7A96169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585E248B">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p>
    <w:p w14:paraId="390E54D8">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lang w:val="en-US" w:eastAsia="zh-CN"/>
        </w:rPr>
      </w:pPr>
      <w:bookmarkStart w:id="118" w:name="_Toc5374"/>
      <w:r>
        <w:rPr>
          <w:rFonts w:hint="eastAsia" w:ascii="楷体_GB2312" w:hAnsi="楷体_GB2312" w:eastAsia="楷体_GB2312" w:cs="楷体_GB2312"/>
          <w:sz w:val="28"/>
          <w:szCs w:val="28"/>
          <w:lang w:val="en-US" w:eastAsia="zh-CN"/>
        </w:rPr>
        <w:t>三十六、澄迈如何建立农产品质量追溯体系，提升品牌公信力？</w:t>
      </w:r>
      <w:bookmarkEnd w:id="118"/>
    </w:p>
    <w:p w14:paraId="1E98E94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2CB4CF5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澄迈是海南热带高效农业大县，拥有福山咖啡、桥头地瓜、澄迈福橙、瑞溪粽子等多个特色农产品品牌，农产品年产值超 50 亿元，远销国内外。但当前澄迈农产品质量追溯体系建设仍处于初级阶段，存在追溯覆盖面窄、追溯信息不完整、消费者查询不便、监管力度不足等问题，导致部分农产品出现质量参差不齐、品牌信任度不高、市场溢价能力弱等现象。</w:t>
      </w:r>
    </w:p>
    <w:p w14:paraId="23215CC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具体来看，现存四大短板：一是追溯主体参与率低，主要集中在几家龙头企业，中小农户、合作社未纳入追溯体系；二是追溯信息碎片化，仅记录生产、加工环节，流通、销售环节信息缺失，形成 “信息孤岛”；三是追溯技术应用简单，以二维码扫码为主，缺乏区块链、物联网等技术支撑，信息易篡改；四是监管与推广不足，缺乏常态化追溯核查机制，消费者对追溯体系认知度低，未形成 “扫码溯源” 的消费习惯。</w:t>
      </w:r>
    </w:p>
    <w:p w14:paraId="7F1186B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在消费升级和自贸港建设背景下，建立完善的农产品质量追溯体系，是提升澄迈农产品品牌公信力、拓宽市场渠道、实现优质优价的关键举措，对推动热带高效农业高质量发展、助力乡村振兴具有重要意义。</w:t>
      </w:r>
    </w:p>
    <w:p w14:paraId="2567539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0DF44FD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构建全链条追溯体系，实现追溯全覆盖 </w:t>
      </w:r>
    </w:p>
    <w:p w14:paraId="1EE092F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明确追溯主体与范围：将澄迈所有特色农产品（福山咖啡、桥头地瓜、澄迈福橙等）的生产、加工、流通、销售环节纳入追溯体系，覆盖龙头企业、合作社、家庭农场、中小农户等所有生产经营主体。对中小农户实行 “合作社 + 追溯” 模式，由合作社统一采集生产信息，纳入追溯体系，解决中小农户追溯难问题。 </w:t>
      </w:r>
    </w:p>
    <w:p w14:paraId="45C42C2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规范追溯信息内容：制定澄迈农产品追溯信息标准，明确各环节追溯要素。生产环节记录地块信息、种苗来源、投入品使用（化肥、农药、兽药等）、田间管理、采收时间等；加工环节记录加工企业、加工工艺、检验检测结果、包装信息等；流通环节记录物流企业、运输方式、仓储条件、运输时间等；销售环节记录销售商家、销售时间、批次信息等，确保 “从田间到餐桌” 全程可追溯。 </w:t>
      </w:r>
    </w:p>
    <w:p w14:paraId="50247A9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创新追溯技术应用，提升追溯公信力 </w:t>
      </w:r>
    </w:p>
    <w:p w14:paraId="5CE0BF3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搭建统一追溯平台：由县政府牵头，建设澄迈县农产品质量追溯公共服务平台，整合各企业、合作社的追溯数据，实现 “一个平台、统一管理、全网查询”。平台对接海南省农产品质量追溯平台和国家农产品质量安全追溯信息平台，实现数据互通共享。开发微信小程序、APP 等查询端口，方便消费者快速查询追溯信息。 </w:t>
      </w:r>
    </w:p>
    <w:p w14:paraId="6297865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引入先进追溯技术：采用 “二维码 + 区块链” 技术，为每一批次农产品生成唯一追溯二维码，记录全链条信息并上链存储，确保信息不可篡改。在重点农产品产区部署物联网设备（温湿度传感器、摄像头等），实时采集生产环境数据，自动上传至追溯平台，提升信息真实性和实时性。对福山咖啡等加工产品，引入 RFID 技术，实现产品仓储、物流环节的自动追溯。 </w:t>
      </w:r>
    </w:p>
    <w:p w14:paraId="099AA4A3">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强化追溯监管与推广，确保体系有效运行 </w:t>
      </w:r>
    </w:p>
    <w:p w14:paraId="1991253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建立常态化监管机制：成立由农业农村、市场监管、文旅等部门组成的追溯体系监管专班，定期对追溯主体的信息录入、追溯真实性进行核查。实行 “双随机、一公开” 监管，对未按规定录入追溯信息、伪造追溯信息的主体，给予警告、罚款、取消品牌认证等处罚。将追溯体系参与情况与农业补贴、品牌评选、项目申报等挂钩，倒逼主体主动参与。 </w:t>
      </w:r>
    </w:p>
    <w:p w14:paraId="5B909BD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检验检测能力建设：在金马物流中心、福山咖啡文化风情镇等重点区域，建设农产品检验检测中心，为生产经营主体提供检测服务，检测结果纳入追溯体系。鼓励企业建立自检实验室，对产品质量进行自主检测，确保追溯信息与产品质量一致。推行 “合格证 + 追溯码” 并行制度，农产品上市必须附带合格证明和追溯二维码，实现 “码证合一”。 </w:t>
      </w:r>
    </w:p>
    <w:p w14:paraId="2D3166A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推动追溯体系与品牌建设融合，提升市场价值 </w:t>
      </w:r>
    </w:p>
    <w:p w14:paraId="6984BC1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强化品牌背书：将质量追溯体系作为澄迈农产品品牌认证的核心指标，只有纳入追溯体系的产品，才能使用 “澄迈特色农产品” 公共品牌标识。在产品包装、宣传推广中突出 “全程可追溯” 卖点，提升消费者信任度。组织企业参加国内外农产品展会，重点推介追溯体系建设成果，增强品牌竞争力。 </w:t>
      </w:r>
    </w:p>
    <w:p w14:paraId="404D526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引导市场消费：开展 “扫码溯源” 宣传活动，通过媒体报道、景区推广、社区宣传等形式，向消费者普及追溯体系知识，培养 “先溯源、后消费” 的习惯。与海口、三亚等城市的大型超市、高端餐厅、跨境电商平台合作，设立 “澄迈追溯农产品专柜”，给予一定政策补贴，推动追溯农产品进超市、进餐厅、进电商。 </w:t>
      </w:r>
    </w:p>
    <w:p w14:paraId="296D99A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实现优质优价：建立追溯农产品价格联动机制，引导市场对纳入追溯体系的农产品给予 5%-10% 的溢价。支持企业开展高端定制业务，针对注重食品安全的消费群体，推出 “定制化 + 可追溯” 农产品礼盒，提升产品附加值。</w:t>
      </w:r>
    </w:p>
    <w:p w14:paraId="041793B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30854A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93F72A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7AE9DDB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8231BB9">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lang w:val="en-US" w:eastAsia="zh-CN"/>
        </w:rPr>
      </w:pPr>
      <w:bookmarkStart w:id="119" w:name="_Toc27294"/>
      <w:r>
        <w:rPr>
          <w:rFonts w:hint="eastAsia" w:ascii="楷体_GB2312" w:hAnsi="楷体_GB2312" w:eastAsia="楷体_GB2312" w:cs="楷体_GB2312"/>
          <w:sz w:val="28"/>
          <w:szCs w:val="28"/>
          <w:lang w:val="en-US" w:eastAsia="zh-CN"/>
        </w:rPr>
        <w:t>三十七、海口经济圈公共交通如何优化线路，方便澄迈居民通勤？</w:t>
      </w:r>
      <w:bookmarkEnd w:id="119"/>
    </w:p>
    <w:p w14:paraId="4943B82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665931B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澄迈作为海口经济圈重要成员，与海口的通勤需求日益旺盛，每天往返两地的通勤人员超 2 万人，主要集中在老城经济开发区、金江镇与海口秀英区、龙华区、美兰区之间。当前，海口经济圈公共交通存在线路布局不合理、发车频次低、通勤时间长、换乘不便等问题，严重影响澄迈居民通勤效率。</w:t>
      </w:r>
    </w:p>
    <w:p w14:paraId="40A49C0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具体短板表现为：一是线路覆盖不足，老城经济开发区至海口市区的公交线路仅 3 条（澄迈 35 路、57 路、游 6 路），金江镇至海口的公交线路仅 1 条（澄迈 16 路），无法覆盖澄迈重点乡镇和海口主要商圈、产业园区；二是发车频次低，高峰时段 15-20 分钟一班，平峰时段 30 分钟以上一班，居民候车时间长；三是通勤时间长，金江镇至海口市区通勤时间超 1.5 小时，老城经济开发区至海口核心区域通勤时间约 40 分钟，远超合理通勤时长；四是换乘体系不完善，澄迈公交线路与海口公交、地铁（规划中）、高铁站缺乏无缝换乘衔接，增加通勤成本；五是城乡公交衔接不畅，澄迈乡镇至县城的公交线路与城际通勤线路缺乏协同，农村居民通勤需多次换乘。</w:t>
      </w:r>
    </w:p>
    <w:p w14:paraId="321D7DF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随着海口经济圈一体化发展提速，优化公共交通线路、提升通勤便利性，是促进澄迈与海口产业协同、人口流动、资源共享的关键基础，对澄迈承接海口产业转移、吸引海口人才就业、推动城乡融合发展具有重要意义。</w:t>
      </w:r>
    </w:p>
    <w:p w14:paraId="7AD8229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463750A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优化线路布局，扩大通勤覆盖范围 </w:t>
      </w:r>
    </w:p>
    <w:p w14:paraId="7702DD7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新增城际通勤线路：开通澄迈金江镇至海口国兴大道（省政府、商圈）的直达公交线路，途经金马物流中心、老城经济开发区、海口秀英区，缩短通勤时间至 1 小时以内。新增老城经济开发区至海口美兰机场、海口高铁站的专线公交，满足商务通勤和出行需求。开通澄迈福山咖啡文化风情镇至海口火山口地质公园的旅游通勤专线，兼顾通勤与旅游需求。 </w:t>
      </w:r>
    </w:p>
    <w:p w14:paraId="471EA58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延伸现有线路覆盖：将澄迈 35 路、57 路公交线路延伸至海口江东新区、海口国家高新技术产业开发区，对接海口产业园区，方便澄迈居民前往海口就业。延伸澄迈 16 路至澄迈瑞溪镇、永发镇，覆盖周边乡镇通勤需求，实现 “乡镇 - 县城 - 海口” 一体化通勤。 </w:t>
      </w:r>
    </w:p>
    <w:p w14:paraId="24B1FD6F">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加密发车频次，缩短通勤候车时间 </w:t>
      </w:r>
    </w:p>
    <w:p w14:paraId="2163D70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动态调整发车计划：针对早晚高峰（7:00-9:00、17:00-19:00）通勤需求，将线路发车频次加密至 10 分钟一班；平峰时段保持 15-20 分钟一班；夜间（19:00-22:00）保留 3-5 班晚班车，满足晚归通勤需求。在老城经济开发区、金江镇等主要始发站设置实时发车信息显示屏，方便居民查询候车时间。 </w:t>
      </w:r>
    </w:p>
    <w:p w14:paraId="27033F2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开通高峰快线：在早晚高峰时段开通老城经济开发区至海口龙华区、秀英区的高峰快线，减少中途停靠站点（仅停靠主要商圈、产业园区），将通勤时间缩短至 30 分钟以内。投入新能源公交车，提升运力和乘坐舒适度。 </w:t>
      </w:r>
    </w:p>
    <w:p w14:paraId="27EDD9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完善换乘体系，提升通勤衔接效率 </w:t>
      </w:r>
    </w:p>
    <w:p w14:paraId="3C93869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建设综合交通枢纽：在澄迈老城经济开发区、金江镇建设综合交通枢纽，整合城际公交、城乡公交、出租车、网约车等交通方式，实现 “一站式换乘”。在海口秀英区、龙华区设置澄迈通勤公交专用换乘站点，对接海口公交、地铁（规划中）线路，方便澄迈居民换乘前往海口各区域。 </w:t>
      </w:r>
    </w:p>
    <w:p w14:paraId="5BE8B34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优化换乘衔接流程：统一海口经济圈公交票务系统，实现 “一卡通刷”“扫码通用”，支持跨线路换乘优惠（1 小时内换乘减免 1 元）。调整线路发车时间，实现城际公交与城乡公交、海口公交的班次衔接，减少换乘等待时间。 </w:t>
      </w:r>
    </w:p>
    <w:p w14:paraId="20499D4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强化城乡协同，完善通勤网络 </w:t>
      </w:r>
    </w:p>
    <w:p w14:paraId="7F23C8D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优化城乡公交线路：加密澄迈乡镇至县城的公交线路，实现乡镇至金江镇、老城经济开发区 30 分钟通勤圈。将城乡公交线路与城际通勤线路无缝衔接，在综合交通枢纽设置专用换乘通道，农村居民无需多次换乘即可直达海口。 </w:t>
      </w:r>
    </w:p>
    <w:p w14:paraId="0E91DC7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推进公交城乡一体化：统一海口经济圈城乡公交运营标准，提升乡镇公交车辆档次和服务质量，实行 “同城同价”，降低农村居民通勤成本。针对偏远乡镇，开通 “定时、定点” 通勤班车，满足农村居民前往海口就业、就医、就学等需求。 </w:t>
      </w:r>
    </w:p>
    <w:p w14:paraId="451C9A2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创新运营模式，提升通勤服务质量 </w:t>
      </w:r>
    </w:p>
    <w:p w14:paraId="715589B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引入定制公交服务：针对澄迈老城经济开发区至海口产业园区、大型企业的通勤需求，开通定制公交专线，提供 “点对点” 直达服务，支持在线预约、灵活上下车点设置。鼓励企业与公交公司合作，开通企业通勤专线，为员工提供定制化通勤服务，政府给予一定运营补贴。 </w:t>
      </w:r>
    </w:p>
    <w:p w14:paraId="3E983BA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提升公交服务水平：统一公交车辆外观标识，更新老旧车辆，投入新能源公交车，提升乘坐舒适度。加强公交驾驶员培训，提升服务态度和驾驶安全性。在公交车辆上安装实时定位、视频监控系统，方便居民查询车辆位置，保障行车安全。 </w:t>
      </w:r>
    </w:p>
    <w:p w14:paraId="5808426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加强政策支持与协同管理 </w:t>
      </w:r>
    </w:p>
    <w:p w14:paraId="0E32532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跨市县协同机制：由海口牵头，成立海口经济圈公共交通协同发展工作组，澄迈、文昌、定安、临高共同参与，统筹线路规划、运力调配、票务管理等工作。建立公交发展联席会议制度，定期协商解决通勤线路优化、换乘衔接等问题。 </w:t>
      </w:r>
    </w:p>
    <w:p w14:paraId="4EE8BEC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加大资金投入力度：争取省级财政补贴，支持海口经济圈公共交通基础设施建设和线路优化。澄迈县财政安排专项资金，用于公交车辆更新、线路补贴、枢纽建设等。鼓励社会资本参与公共交通运营，形成 “政府主导、社会参与” 的多元化投入机制。</w:t>
      </w:r>
    </w:p>
    <w:p w14:paraId="30E1240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02230E7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4779D9B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4ECED8EC">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三十八、澄迈如何利用政府投资引导基金，撬动更多社会资本参与产业升级？</w:t>
      </w:r>
    </w:p>
    <w:p w14:paraId="57EE0CA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74664C8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业升级是澄迈融入海口经济圈、承接海南自贸港产业辐射的核心任务，而资金短缺、社会资本参与意愿不足是关键瓶颈。当前，澄迈已形成油气服务、热带高效农业、文旅康养等主导产业，但产业链条短、附加值低、数字化水平不足等问题突出，亟需资本赋能实现转型。</w:t>
      </w:r>
    </w:p>
    <w:p w14:paraId="5CC80A7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从政策环境看，海南自贸港建设投资基金已设立 3 年，累计设立 23 只子基金、认缴规模 165 亿元，撬动社会资本 2.5 倍，返投海南项目 41 个，为市县产业发展提供了成熟的基金运作经验。但澄迈本地政府投资引导基金发展仍处于起步阶段，存在三大短板：一是基金规模偏小，缺乏针对性的产业子基金，难以形成资本集聚效应；二是运作机制不灵活，与社会资本的合作模式单一，对市场化机构吸引力不足；三是政策协同不足，基金投资与产业规划、土地供给、税收优惠等政策衔接不畅，项目落地效率偏低。</w:t>
      </w:r>
    </w:p>
    <w:p w14:paraId="15E7253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在自贸港封关运作倒计时背景下，澄迈亟需借鉴省级基金运作经验，优化政府投资引导基金的设立、运作与退出机制，聚焦主导产业精准发力，通过 “政府引导 + 市场运作” 模式撬动更多社会资本，为产业升级注入持续动能。</w:t>
      </w:r>
    </w:p>
    <w:p w14:paraId="4F3E518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6F4FEB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构建层级分明的基金体系，聚焦产业精准发力 </w:t>
      </w:r>
    </w:p>
    <w:p w14:paraId="4F79E3E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设立县级母基金，夯实资本基础：由县政府牵头，整合财政专项资金、国有平台公司资金，设立规模不低于 5 亿元的澄迈产业升级母基金。母基金重点对接海南自贸港建设投资基金，争取省级资金参股支持，放大资本杠杆效应。明确母基金投资方向，聚焦油气服务数字化、热带高效农业深加工、文旅康养融合、绿色低碳等核心领域，避免投资分散化。 </w:t>
      </w:r>
    </w:p>
    <w:p w14:paraId="562C849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设立产业子基金，强化精准赋能：围绕主导产业设立专项子基金，采用 “母基金 + 社会资本” 模式，每个子基金规模不低于 2 亿元。与油气服务领域龙头企业合作设立油气服务产业子基金，重点支持设备升级、数字转型、跨境服务项目；联合农业产业化龙头企业设立农业产业子基金，投向农产品深加工、质量追溯体系、冷链物流等环节；携手文旅企业设立文旅康养子基金，助力福山咖啡文化风情镇提质、乡村旅游升级。借鉴省级基金经验，子基金中政府出资比例不超过 30%，充分发挥社会资本主导作用。 </w:t>
      </w:r>
    </w:p>
    <w:p w14:paraId="735A7ED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对接区域协同基金，融入经济圈发展：积极参与海口经济圈协同发展基金，争取份额不低于 5%，借助基金平台推动澄迈与海口、文昌等市县的产业协同项目。联合洋浦设立油气产业联动子基金，支持 “洋浦加工 + 澄迈服务” 的产业链协同项目，实现政策与资本的跨区域联动。 </w:t>
      </w:r>
    </w:p>
    <w:p w14:paraId="7196A32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创新基金运作机制，提升社会资本吸引力 </w:t>
      </w:r>
    </w:p>
    <w:p w14:paraId="17C4F58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优化合作模式，降低投资风险：采用 “股权投资 + 债权支持” 组合模式，对成熟期企业以股权投资为主，对初创期、成长期企业提供 “股权投资 + 可转债” 支持。设立风险补偿池，对社会资本投资澄迈重点产业项目的损失给予最高 30% 的补偿，补偿资金从母基金中列支。推行 “优先分红 + 超额分成” 机制，社会资本可优先享受不低于市场平均水平的分红收益，项目超额盈利部分按 “政府 30%、社会资本 70%” 比例分成。 </w:t>
      </w:r>
    </w:p>
    <w:p w14:paraId="4B8E9C6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简化决策流程，提高投资效率：建立 “政府引导、市场化决策” 机制，母基金理事会负责战略方向把控，子基金委托专业基金管理机构（GP）负责项目筛选、投资决策和投后管理。简化政府审批环节，子基金投资符合产业方向的项目，可由 GP 自主决策，事后向母基金理事会备案。搭建项目储备库，提前筛选优质项目并完成尽调，缩短投资决策周期至 3 个月内。 </w:t>
      </w:r>
    </w:p>
    <w:p w14:paraId="69EF04A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拓宽退出渠道，保障资本流动性：建立多元化退出机制，支持投资项目通过 IPO、新三板挂牌、股权转让、管理层回购等方式退出。与海南股权交易中心合作，设立澄迈产业项目退出专区，为基金提供股权流转平台。对投资满 5 年的项目，政府可按原价回购社会资本股份，降低长期持有风险。借鉴省级基金投资中国中免港股 IPO 的经验，支持优质项目对接资本市场实现退出。 </w:t>
      </w:r>
    </w:p>
    <w:p w14:paraId="3271932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强化政策协同联动，优化资本落地环境 </w:t>
      </w:r>
    </w:p>
    <w:p w14:paraId="6B40153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配套政策支持：制定《澄迈县政府投资引导基金管理办法》，明确基金设立、运作、退出的操作规范。将基金投资与土地、税收、人才政策挂钩，对基金投资的项目，优先保障用地指标，给予地方税收留成部分 50% 的返还（期限不超过 3 年），对项目引进的高层次人才提供住房补贴和子女入学便利。设立项目落地奖励，对成功引入社会资本的基金管理机构，按实际投资额的 1% 给予奖励。 </w:t>
      </w:r>
    </w:p>
    <w:p w14:paraId="639830A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搭建政银企对接平台：定期举办 “基金 + 项目” 对接会，组织基金管理机构、银行、担保公司与企业面对面沟通。推动银行与基金开展投贷联动，对基金投资的项目，银行给予不低于投资金额 2 倍的信贷支持，执行优惠利率。引入担保机构为基金投资项目提供增信服务，降低企业融资门槛。 </w:t>
      </w:r>
    </w:p>
    <w:p w14:paraId="7B1F730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加强投后管理服务：建立 “基金 + 管家” 服务机制，为投资项目提供政策咨询、技术对接、市场拓展等全方位服务。跟踪项目运营情况，每季度开展一次投后检查，对遇到困难的项目，协调相关部门解决。推动投资企业资源共享，促进产业链上下游协同发展，提升项目整体盈利能力。 </w:t>
      </w:r>
    </w:p>
    <w:p w14:paraId="53C1A73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强化基金监管与绩效评价，确保资金安全高效 </w:t>
      </w:r>
    </w:p>
    <w:p w14:paraId="0705601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健全监管体系：建立 “日常监管 + 定期审计” 机制，母基金理事会定期检查子基金运作情况，每年委托第三方机构进行审计。要求基金管理机构按月报送投资进度、资金使用情况，按季度报送项目运营数据，确保资金专款专用。严禁基金投资房地产、金融衍生品等非产业领域，防范资金 “脱实向虚”。 </w:t>
      </w:r>
    </w:p>
    <w:p w14:paraId="1BBAAF2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绩效评价：制定基金绩效评价指标体系，从产业贡献、资本撬动、项目成功率、退出收益率等维度进行考核。对绩效优秀的基金管理机构，给予后续合作优先权和管理费上浮奖励；对绩效不佳的，取消合作资格。将基金运作成效纳入相关部门年度考核，确保基金聚焦产业升级目标。 </w:t>
      </w:r>
    </w:p>
    <w:p w14:paraId="28F0890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加强信息公开：定期在县政府网站公开基金规模、投资方向、项目进展、收益情况等信息，接受社会监督。建立基金运作风险预警机制，对投资集中度过高、项目出现重大风险的情况及时预警，采取有效措施防范系统性风险。</w:t>
      </w:r>
    </w:p>
    <w:p w14:paraId="0A3C27E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315E246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41E9DA3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423F014">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lang w:val="en-US" w:eastAsia="zh-CN"/>
        </w:rPr>
      </w:pPr>
      <w:bookmarkStart w:id="120" w:name="_Toc21601"/>
      <w:r>
        <w:rPr>
          <w:rFonts w:hint="eastAsia" w:ascii="楷体_GB2312" w:hAnsi="楷体_GB2312" w:eastAsia="楷体_GB2312" w:cs="楷体_GB2312"/>
          <w:sz w:val="28"/>
          <w:szCs w:val="28"/>
          <w:lang w:val="en-US" w:eastAsia="zh-CN"/>
        </w:rPr>
        <w:t>三十九、澄迈蓝碳项目如何与生态旅游结合，实现生态经济双赢？</w:t>
      </w:r>
      <w:bookmarkEnd w:id="120"/>
    </w:p>
    <w:p w14:paraId="6ECCD1D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7ED753E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拥有丰富的蓝碳资源，红树林湿地、浅海海域等生态系统具备强大的固碳能力，是海南蓝碳产业发展的重要载体。当前，海南正推进国际碳排放权交易中心建设，蓝碳交易市场逐步成型，为澄迈蓝碳资源变现提供了政策机遇。同时，澄迈文旅产业已形成一定基础，福山咖啡文化风情镇成功创建 4A 景区，年接待游客超 150 万人次，但生态旅游产品单一、体验感不足等问题突出。</w:t>
      </w:r>
    </w:p>
    <w:p w14:paraId="79FF2CF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当前，澄迈蓝碳项目与生态旅游融合存在三大短板：一是蓝碳资源底数不清，缺乏系统的监测计量体系，难以形成标准化碳汇产品；二是融合业态单一，仅停留在简单的湿地观光层面，缺乏沉浸式、体验式旅游产品；三是品牌影响力不足，未形成 “蓝碳 + 旅游” 的特色 IP，市场认知度低。借鉴舟山市 “蓝碳生态旅游 + 海洋牧场” 的融合经验，澄迈亟需推动蓝碳资源保护与旅游开发有机结合，实现生态保护与经济发展的双赢。</w:t>
      </w:r>
    </w:p>
    <w:p w14:paraId="0BAF3D7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1FB6CD5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夯实蓝碳资源基础，构建标准化碳汇体系 </w:t>
      </w:r>
    </w:p>
    <w:p w14:paraId="403B25C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开展蓝碳资源普查与监测：联合海南大学、中科院南海所等科研机构，对澄迈红树林湿地、浅海贝藻养殖区、滩涂等蓝碳资源进行全面普查，摸清资源分布、面积、固碳量等底数。建立蓝碳监测网络，在红树林核心区、海洋牧场等区域部署物联网传感器，实时监测植被覆盖度、水质、碳汇通量等数据，构建 “天空地” 一体化监测体系。参照国家蓝碳计量标准，制定澄迈蓝碳核算方法学，确保碳汇数据真实可查、可交易。 </w:t>
      </w:r>
    </w:p>
    <w:p w14:paraId="1D0A773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开发蓝碳交易产品：将红树林保护、海洋牧场建设产生的碳汇纳入海南国际碳排放权交易中心交易体系，开发 “红树林碳汇”“贝藻养殖碳汇” 等标准化产品。推出 “个人碳汇”“企业碳中和” 产品，鼓励游客和企业购买碳汇抵消碳排放，所得收益用于蓝碳资源保护和旅游设施建设。与海口、三亚等旅游城市合作，推动旅游企业购买澄迈蓝碳产品实现碳中和，打造 “低碳旅游” 示范线路。 </w:t>
      </w:r>
    </w:p>
    <w:p w14:paraId="4F0A943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申请蓝碳试点示范：争取成为海南蓝碳交易试点县，率先开展红树林碳汇跨境交易试点。申报国家级蓝碳生态保护修复项目，争取中央财政资金支持蓝碳资源保护。借鉴舟山市建设国家级海洋牧场示范区的经验，打造澄迈红树林蓝碳生态保护修复示范基地，为全国蓝碳与旅游融合提供样本。 </w:t>
      </w:r>
    </w:p>
    <w:p w14:paraId="5E689F0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创新 “蓝碳 + 旅游” 业态，丰富产品供给 </w:t>
      </w:r>
    </w:p>
    <w:p w14:paraId="6923159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打造蓝碳主题观光线路：设计 “红树林蓝碳探秘之旅”，串联红树林湿地保护区、海洋牧场、咖啡文化风情镇等节点，推出 “湿地观鸟 + 碳汇科普 + 咖啡品鉴” 一日游产品。开发 “海上蓝碳体验线”，组织游客乘坐生态游船游览浅海养殖区，观察贝藻固碳过程，体验海洋牧场垂钓、贝类采摘等活动。在红树林湿地建设木栈道、观景平台、科普长廊，设置蓝碳知识标识牌，让游客在观光中了解蓝碳功能。 </w:t>
      </w:r>
    </w:p>
    <w:p w14:paraId="60582C6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发展沉浸式体验项目：建设蓝碳科普馆，采用 VR/AR 技术还原红树林生态系统演变、碳汇形成过程，打造互动式科普体验。推出 “蓝碳卫士” 志愿活动，组织游客参与红树林种植、垃圾清理等公益活动，活动结束后颁发 “碳汇抵消证书”。开发蓝碳主题研学产品，针对中小学推出 “生态保护 + 碳汇知识” 研学课程，配套建设研学基地，提供食宿、教学设施保障。借鉴舟山市 “渔业体验 + 科普研学” 模式，提升旅游产品的参与感和教育意义。 </w:t>
      </w:r>
    </w:p>
    <w:p w14:paraId="2629572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培育高端康养业态：依托红树林优良的生态环境，建设蓝碳主题康养中心，推出 “森林浴 + 碳汇呼吸” 康养套餐，提供冥想、瑜伽、生态食疗等服务。开发蓝碳主题民宿，采用低碳建筑材料，推行垃圾分类、污水处理等环保措施，打造 “零碳民宿” 集群。对接海口、粤港澳大湾区高端客群，推出 “周末康养 + 碳汇认购” 定制服务，提升旅游产品附加值。 </w:t>
      </w:r>
    </w:p>
    <w:p w14:paraId="4AA6CD5D">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强化品牌营销与区域协同，拓展市场空间 </w:t>
      </w:r>
    </w:p>
    <w:p w14:paraId="676BA14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打造特色品牌 IP：设计澄迈蓝碳旅游专属 Logo 和宣传口号，制作高质量宣传视频、图文手册，突出 “生态保护 + 低碳体验” 核心卖点。注册 “澄迈蓝碳旅游” 公共品牌，对符合标准的旅游产品授予品牌使用权，规范服务质量。举办 “蓝碳生态旅游节”，开展蓝碳论坛、碳汇交易签约、生态摄影大赛等活动，提升品牌影响力。 </w:t>
      </w:r>
    </w:p>
    <w:p w14:paraId="27900ED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多元化营销矩阵：利用微信、抖音、小红书等新媒体平台，邀请旅游博主、网红达人探店打卡，推广蓝碳旅游线路。与海南旅游推广联盟合作，将蓝碳旅游产品纳入全省旅游精品线路，在国内外旅游展会上重点推介。对接境外旅行社和在线旅游平台（OTA），将蓝碳旅游产品纳入国际旅游线路，吸引国际游客。 </w:t>
      </w:r>
    </w:p>
    <w:p w14:paraId="7DEEED6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深化区域协同合作：与海口、文昌等海口经济圈城市合作，推出 “蓝碳 + 航天 + 咖啡” 跨区域旅游线路，实现客源互送。与徐闻通过跨海峡物流航线联动，将蓝碳旅游产品与徐闻菠萝产业体验结合，吸引粤西游客。加入全国蓝碳旅游联盟，与舟山、厦门等城市共享营销资源，打造全国知名的蓝碳旅游目的地。 </w:t>
      </w:r>
    </w:p>
    <w:p w14:paraId="6074CC8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完善保障体系，实现可持续发展 </w:t>
      </w:r>
    </w:p>
    <w:p w14:paraId="4CB0019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加强生态保护管控：划定蓝碳资源核心保护区和旅游开发区，核心保护区禁止旅游开发活动，旅游开发区实行限额管理，控制日接待游客数量不超过环境承载量的 70%。建立生态保护补偿机制，从旅游收入中提取 10% 作为生态保护基金，用于红树林修复、湿地保护等工作。加强旅游活动监管，禁止游客破坏植被、捕捞水生生物等行为，推行 “无痕旅游”。 </w:t>
      </w:r>
    </w:p>
    <w:p w14:paraId="4C1B10F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基础设施建设：升级交通配套，开通县城至红树林湿地、海洋牧场的旅游专线公交，对接海口至澄迈的城际通勤线路。完善旅游服务设施，在景区入口建设游客服务中心，提供咨询、购票、导览等服务；配套建设生态停车场、环保卫生间、休息驿站等设施。建设智慧旅游系统，实现门票预订、客流监测、导览讲解等功能，提升旅游体验。 </w:t>
      </w:r>
    </w:p>
    <w:p w14:paraId="14ED7B7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强化利益联结机制：建立 “景区 + 村集体 + 农户” 利益联结模式，优先吸纳周边村民参与旅游服务（如讲解员、保洁员、民宿服务人员等）。鼓励村民开发民宿、餐饮、文创产品等配套产业，景区给予租金减免、营销支持等政策。将蓝碳交易收益的 20% 分配给周边村庄，用于改善农村基础设施和公共服务，让村民共享生态旅游发展成果。</w:t>
      </w:r>
    </w:p>
    <w:p w14:paraId="7243251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678DCDB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576F899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66E6EDFC">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四十、澄迈老城科技园区 “亩均效益” 评价如何进一步优化，激励企业转型？</w:t>
      </w:r>
    </w:p>
    <w:p w14:paraId="5342A0D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055AFE9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澄迈老城科技园区是海口经济圈重要的产业载体，集聚了油气服务、智能制造、电子信息等各类企业，但其土地利用效率不高、产业层次偏低等问题日益突出。当前，园区已推行 “亩均效益” 评价试点，但仍存在诸多短板，与宁波北仑区等先进地区相比存在明显差距。</w:t>
      </w:r>
    </w:p>
    <w:p w14:paraId="5A45B5E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来看，现存四大问题：一是评价指标体系不完善，侧重亩均税收、亩均增加值等产出指标，对研发投入、绿色低碳、数字化转型等转型导向指标权重不足；二是分类评价不精准，未根据产业类型、企业规模实行差异化评价，对油气服务等特色产业适配性不强；三是结果运用不充分，差异化政策支持力度不足，正向激励和反向倒逼作用未充分发挥；四是数据共享机制不健全，评价数据来源于多个部门，存在数据口径不一致、更新不及时等问题。</w:t>
      </w:r>
    </w:p>
    <w:p w14:paraId="25E72CE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在海南自贸港 “集约用地、高效发展” 的要求下，澄迈亟需借鉴北仑区 “亩均论英雄” 改革经验，进一步优化老城科技园区 “亩均效益” 评价体系，引导资源要素向优质企业集中，激励低效企业转型，推动园区从 “规模扩张” 向 “质量提升” 转型。</w:t>
      </w:r>
    </w:p>
    <w:p w14:paraId="3997DDD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4E3C5CE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优化评价指标体系，增强转型导向性 </w:t>
      </w:r>
    </w:p>
    <w:p w14:paraId="1ABFF5B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科学设置核心指标：构建 “产出效益 + 转型发展 + 生态环保” 三维评价指标体系，总权重 100 分。产出效益指标（50 分）包括亩均税收（30 分）、亩均增加值（20 分），其中亩均增加值权重从 20% 提升至 25%，突出产值贡献；转型发展指标（30 分）包括研发经费占主营业务收入比重（15 分）、数字化转型投入占比（10 分）、全员劳动生产率（5 分）；生态环保指标（20 分）包括单位能耗增加值（10 分）、单位主要污染物排放增加值（10 分）。 </w:t>
      </w:r>
    </w:p>
    <w:p w14:paraId="247CA73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实行差异化指标权重：根据产业类型调整指标权重，对油气服务企业，提高数字化转型投入占比权重至 15 分；对智能制造企业，提高研发经费占比权重至 20 分；对生产性服务业企业，降低单位能耗增加值权重至 5 分，提高亩均税收权重至 35 分。对规上企业实行全指标评价，对规下企业简化为亩均税收（70 分）、环保达标情况（30 分）两项指标，提高评价实操性。 </w:t>
      </w:r>
    </w:p>
    <w:p w14:paraId="21A3051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补充加分减分条款：设置加分项（最高 10 分），对国家级高新技术企业、专精特新 “小巨人” 企业加 5-10 分；对参与蓝碳项目、绿色能源项目的企业加 3-5 分；对年增速超 30% 的企业加 3 分。设置减分项（最高 10 分），对环保超标、安全生产违规的企业扣 5-10 分；对拖欠税费、劳动纠纷频发的企业扣 3-5 分。 </w:t>
      </w:r>
    </w:p>
    <w:p w14:paraId="6B58E62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完善评价实施机制，提升评价精准度 </w:t>
      </w:r>
    </w:p>
    <w:p w14:paraId="6844587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规范数据采集与核对：建立 “部门联动 + 企业申报 + 第三方核查” 的数据采集机制，由税务、统计、工信、环保等部门提供基础数据，企业补充申报相关指标，委托第三方机构进行数据核查。统一数据口径，明确亩均税收 = 年度实缴税收 / 企业实际用地面积，亩均增加值 = 年度工业增加值 / 企业实际用地面积，确保指标计算标准一致。搭建园区 “亩均效益” 评价数据平台，实现部门数据实时共享、自动汇总，提高数据更新效率。 </w:t>
      </w:r>
    </w:p>
    <w:p w14:paraId="29881CF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实行分类分档评价：将园区企业分为 A 档（优先发展类，前 20%）、B 档（支持发展类，20%-60%）、C 档（倒逼转型类，60%-90%）、D 档（限期整改类，后 10%）四个档次。评价结果在园区官网公示，公示期不少于 7 个工作日，企业对结果有异议的可申请复核，给予企业纠偏 “窗口期”。每年开展一次评价，确保 “当年评、当年用”，评价结果作为政策支持的主要依据。 </w:t>
      </w:r>
    </w:p>
    <w:p w14:paraId="0829807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强化动态监测管理：建立企业 “亩均效益” 动态监测机制，每季度更新核心指标数据，对指标大幅下滑的企业进行预警提醒。对 A 档企业实行 “红名单” 管理，对 D 档企业实行 “黑名单” 管理，定期跟踪整改情况。将评价结果与企业信用等级挂钩，A 档企业信用等级直接评定为 A 级，D 档企业信用等级降为 C 级及以下。 </w:t>
      </w:r>
    </w:p>
    <w:p w14:paraId="7FF0159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强化结果运用，发挥激励约束作用 </w:t>
      </w:r>
    </w:p>
    <w:p w14:paraId="19CBE18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正向激励优质企业：对 A 档企业，优先保障用地、用能、用水指标，给予地方税收留成部分 60% 的返还（期限 3 年）；优先推荐申报各级政府扶持项目和荣誉称号，研发费用加计扣除比例提高至 175%；对企业负责人给予最高 50 万元的奖励，并纳入人才优待范围。对 B 档企业，给予地方税收留成部分 30% 的返还（期限 2 年），优先提供技术改造、数字化转型指导服务。 </w:t>
      </w:r>
    </w:p>
    <w:p w14:paraId="7D31ECA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倒逼低效企业转型：对 C 档企业，实行差别化税收政策，不享受税收返还优惠；限制新增用地、用能指标，要求在 1 年内完成技术改造或产能优化。对 D 档企业，实行差别化用电加价（每千瓦时加价 0.1 元），限期 6 个月整改；整改达标后可恢复正常待遇，整改不达标则依法依规实行关停、搬迁或兼并重组。鼓励 A、B 档企业通过兼并收购、联合重组等方式盘活 D 档企业低效用地，盘活后新增税收地方留成部分的 50% 返还给收购企业。 </w:t>
      </w:r>
    </w:p>
    <w:p w14:paraId="1F3294B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支持企业 “零土地” 转型：对不新增用地的企业技术改造、数字化转型、绿色化改造项目，给予投资额 10%-20% 的补贴（最高不超过 500 万元）。允许工业控制线内的企业实施 “工改工” 项目，提高建筑容积率至 2.0 以上，不增收土地价款。支持相邻 “低、小、散” 企业联合连片改造，统一规划设计，优化空间布局，提高土地利用效率。 </w:t>
      </w:r>
    </w:p>
    <w:p w14:paraId="3848F0C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加强保障措施，确保评价落地见效 </w:t>
      </w:r>
    </w:p>
    <w:p w14:paraId="7B9F5D3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健全工作推进机制：成立由县政府牵头，园区管委会、税务、统计、工信等部门组成的 “亩均效益” 评价工作专班，统筹推进评价工作。制定《澄迈老城科技园区 “亩均效益” 综合评价实施办法（修订版）》，明确评价流程、指标解释、政策衔接等内容。定期召开企业座谈会，宣传评价政策，听取企业意见建议，及时优化评价体系。 </w:t>
      </w:r>
    </w:p>
    <w:p w14:paraId="7B59339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强化企业服务引导：开展 “亩均效益” 提升专项行动，组织专家为 C、D 档企业提供技术改造、管理优化、市场拓展等 “一对一” 指导。搭建产学研对接平台，推动企业与高校、科研机构合作，解决转型中的技术难题。举办 “亩均效益” 提升培训班，邀请先进地区企业分享转型经验，提升企业转型能力。 </w:t>
      </w:r>
    </w:p>
    <w:p w14:paraId="5F42224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加强监督考核：将 “亩均效益” 评价工作纳入园区管委会和相关部门年度考核，考核结果与评优评先、干部绩效挂钩。建立评价工作监督机制，对数据造假、政策执行不到位等行为严肃追责。定期向社会公开评价结果和政策落实情况，接受社会监督，营造 “比学赶超、提质增效” 的良好氛围。</w:t>
      </w:r>
    </w:p>
    <w:p w14:paraId="20BF6EB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399338C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702AAFF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92CFF28">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lang w:val="en-US" w:eastAsia="zh-CN"/>
        </w:rPr>
      </w:pPr>
      <w:bookmarkStart w:id="121" w:name="_Toc31071"/>
      <w:r>
        <w:rPr>
          <w:rFonts w:hint="eastAsia" w:ascii="楷体_GB2312" w:hAnsi="楷体_GB2312" w:eastAsia="楷体_GB2312" w:cs="楷体_GB2312"/>
          <w:sz w:val="28"/>
          <w:szCs w:val="28"/>
          <w:lang w:val="en-US" w:eastAsia="zh-CN"/>
        </w:rPr>
        <w:t>四十一、澄迈如何防范台风等自然灾害风险，提升城市韧性？</w:t>
      </w:r>
      <w:bookmarkEnd w:id="121"/>
    </w:p>
    <w:p w14:paraId="5826D02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331A547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澄迈地处海南西北部沿海，是台风、暴雨、风暴潮等自然灾害的高发区域，每年 5-10 月为台风活跃期，平均每年受 2-3 个台风影响。台风等自然灾害不仅威胁人民群众生命财产安全，还对城市基础设施、产业发展造成严重冲击，如 2014 年 “威马逊” 台风导致澄迈大量房屋倒塌、农田被淹、电力通信中断，直接经济损失超 10 亿元。</w:t>
      </w:r>
    </w:p>
    <w:p w14:paraId="65895B1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当前，澄迈防灾减灾体系仍存在诸多短板：一是灾害监测预警能力不足，监测站点布局不均，预警信息传递 “最后一公里” 未完全打通；二是城市基础设施防灾标准偏低，老旧城区排水管网老化、排涝能力不足，电力通信线路抗风能力弱；三是应急处置体系不完善，应急物资储备不足、分布不均，应急队伍专业化水平不高；四是城乡防灾能力不均衡，农村地区房屋抗风等级低，防灾意识薄弱。在全球气候变化背景下，极端天气事件频发，澄迈亟需构建 “监测预警 - 设施防护 - 应急处置 - 恢复重建” 全链条防灾减灾体系，提升城市抵御自然灾害的韧性。</w:t>
      </w:r>
    </w:p>
    <w:p w14:paraId="76816D0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3A3B583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完善监测预警体系，提升风险预判能力 </w:t>
      </w:r>
    </w:p>
    <w:p w14:paraId="73F503E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优化监测站点布局：整合气象、水文、地质、海洋等监测资源，在沿海乡镇、河流沿岸、山区等重点区域新增 10 个气象自动监测站、5 个水文监测站、3 个风暴潮监测站，实现灾害风险全覆盖监测。升级现有监测设备，配备无人机、雷达等先进设备，提高台风路径、降雨强度、风暴潮高度等指标的监测精度。建立监测数据共享平台，实现气象、应急、水务、自然资源等部门数据实时互通，提升综合研判能力。 </w:t>
      </w:r>
    </w:p>
    <w:p w14:paraId="0AFA69F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强化预警信息发布：构建 “全媒体 + 网格化” 预警信息发布体系，利用电视、广播、短信、微信公众号、抖音等平台，及时发布台风预警信息。在乡镇、村（社区）设置预警大喇叭、电子显示屏，确保预警信息覆盖偏远农村地区。建立网格员包片制度，由网格员负责将预警信息传递至老弱病残等特殊群体，打通预警 “最后一公里”。制定差异化预警标准，根据台风强度、影响范围发布蓝色、黄色、橙色、红色四级预警，明确不同预警等级的应对措施。 </w:t>
      </w:r>
    </w:p>
    <w:p w14:paraId="3CC367B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开展风险隐患排查：每年汛前、汛后开展两次全域自然灾害风险隐患排查，重点排查老旧房屋、危房、地质灾害隐患点、排水管网、电力通信设施、工业园区等关键区域。建立风险隐患台账，明确整改责任单位、整改措施和完成时限，对重大隐患实行挂牌督办。绘制澄迈自然灾害风险地图，标注高风险区域、避难场所、疏散路线等信息，向社会公开，引导群众规避风险。 </w:t>
      </w:r>
    </w:p>
    <w:p w14:paraId="06948F0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升级城市基础设施，增强防灾抗灾能力 </w:t>
      </w:r>
    </w:p>
    <w:p w14:paraId="032BA38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提升防洪排涝能力：实施城市排水管网改造工程，对老城区直径小于 600 毫米的排水管道进行扩容改造，新建城区采用 “雨污分流” 模式，建设直径 1 米以上的排水主干管。在金江镇、老城镇等重点区域建设 5 个雨水调蓄池，总容积不低于 5 万立方米，缓解暴雨内涝压力。整治南渡江、美亭河等主要河流，清淤疏浚河道，加固堤防，提高防洪标准至 50 年一遇。建设沿海防波堤，重点加固马村港、玉包港等区域防波堤，抵御风暴潮侵袭。 </w:t>
      </w:r>
    </w:p>
    <w:p w14:paraId="7100E61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基础设施防护：对城市电力、通信、供水、燃气等生命线工程进行抗风加固改造，电力线路采用耐张杆塔、绝缘导线，通信基站配备备用电源，确保台风期间基本保障不中断。升级交通基础设施，加固桥梁护栏、路灯杆等设施，在易积水路段设置排水泵和警示标识。工业园区企业按台风 12 级抗风标准改造厂房和设备，重点加固油气储罐、生产设施，配备应急切断装置，防范次生灾害。 </w:t>
      </w:r>
    </w:p>
    <w:p w14:paraId="27BB95D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建设应急避难场所：整合学校、体育馆、村委会办公楼等公共建筑，在每个乡镇建设 2-3 个标准化应急避难场所，全县累计建成不少于 30 个，可容纳避难人员超 10 万人。避难场所配备应急供水、供电、通信、医疗、物资储备等设施，明确疏散路线和标识。建立避难场所动态管理机制，定期开展维护和演练，确保应急状态下正常使用。 </w:t>
      </w:r>
    </w:p>
    <w:p w14:paraId="25BD0A6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健全应急处置体系，提升快速响应能力 </w:t>
      </w:r>
    </w:p>
    <w:p w14:paraId="557364D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完善应急预案体系：修订《澄迈县台风灾害应急预案》《防汛抗旱应急预案》等专项预案，编制乡镇、村（社区）、企业等基层单位应急预案，形成 “县级总体预案 + 专项预案 + 基层预案” 的完整体系。每年组织 1-2 次全县性台风灾害应急演练，重点演练人员转移、物资调配、医疗救援等科目，提高各部门协同作战能力。企业、学校、社区定期开展针对性应急演练，提升群众自救互救能力。 </w:t>
      </w:r>
    </w:p>
    <w:p w14:paraId="7491D99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强化应急队伍建设：组建县级综合性应急救援队伍，人数不少于 200 人，配备冲锋舟、挖掘机、救生衣等专业装备。整合消防、公安、武警、医疗等专业力量，建立应急救援联动机制。培育社会应急救援力量，支持志愿者队伍、民间救援组织发展，给予资金和装备支持。加强应急救援人员培训，邀请专家开展台风应对、医疗急救、抢险救灾等专业培训，提升队伍专业化水平。 </w:t>
      </w:r>
    </w:p>
    <w:p w14:paraId="178DA68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优化应急物资保障：建设县级应急物资储备中心，储备帐篷、被褥、食品、饮用水、药品等基本生活物资，以及救生装备、抢险工具、发电设备等专业物资，确保满足 10 万人 3 天以上的应急需求。在乡镇设立应急物资储备点，储备常用应急物资，实现物资快速调配。建立应急物资动态补充机制，定期更新过期物资，根据灾害风险变化调整物资储备种类和数量。与电商平台、超市签订应急物资供应协议，确保紧急情况下物资持续供应。 </w:t>
      </w:r>
    </w:p>
    <w:p w14:paraId="39D39B77">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强化城乡协同防控，提升整体防灾韧性 </w:t>
      </w:r>
    </w:p>
    <w:p w14:paraId="28D44EE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加强农村防灾能力建设：实施农村危房改造工程，对 C、D 级危房进行加固或重建，提高房屋抗风等级。推进农村人居环境整治，清理村内排水沟渠、河道，提升农村排涝能力。在农村地区建设防风林带，重点在沿海乡镇种植红树林、木麻黄等抗风树种，构建生态防护屏障。开展农村防灾宣传教育，通过宣传栏、短视频、村民大会等形式，普及台风防范、自救互救知识，提升农民防灾意识。 </w:t>
      </w:r>
    </w:p>
    <w:p w14:paraId="4B82F15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推动防灾规划与城市发展融合：将防灾减灾要求纳入城市总体规划、国土空间规划，合理布局城市功能区，避免在高风险区域建设居民区和重要设施。在城市建设中严格执行防灾标准，新建建筑抗风等级不低于 12 级，新建道路、桥梁等基础设施满足防洪排涝要求。推进海绵城市建设，在公园、广场、道路两侧建设透水铺装、下沉式绿地等设施，提升雨水调蓄能力。 </w:t>
      </w:r>
    </w:p>
    <w:p w14:paraId="0F75063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建立灾后恢复重建机制：制定灾后恢复重建应急预案，明确重建流程、责任分工和时间节点。建立灾后评估机制，灾后 72 小时内完成灾情评估，15 日内制定重建方案。优先恢复电力、通信、供水等基础设施和学校、医院等公共服务设施，保障群众基本生活。设立灾后恢复重建专项资金，争取上级财政支持，鼓励社会资本参与重建。加强灾后心理疏导，为受灾群众提供心理援助，帮助恢复正常生产生活。</w:t>
      </w:r>
    </w:p>
    <w:p w14:paraId="007E0B7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11930B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402F5B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75995228">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四十二、海口经济圈跨境电商如何与澄迈物流、农业资源结合，拓展海外市场？</w:t>
      </w:r>
    </w:p>
    <w:p w14:paraId="0824E13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775E34A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海口经济圈是海南自贸港跨境电商发展的核心区域，海口已形成跨境电商综合试验区、保税物流中心等平台优势，2024 年跨境电商交易额超 300 亿元。澄迈作为海口经济圈重要成员，拥有两大核心资源：一是物流优势，金马物流中心是海南西部重要的物流枢纽，马村港是深水良港，且可对接海口秀英港的跨海峡无人机物流航线资源；二是农业资源优势，福山咖啡、桥头地瓜、澄迈福橙等特色农产品享誉国内外，年产量超 50 万吨，具备跨境出口潜力。</w:t>
      </w:r>
    </w:p>
    <w:p w14:paraId="0CE8FA2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当前，三者融合发展存在三大瓶颈：一是资源对接不紧密，海口跨境电商平台与澄迈农业企业、物流企业缺乏常态化合作机制，农产品上行通道不畅；二是物流配套不完善，澄迈冷链物流覆盖率低，跨境物流成本高、时效长，难以满足鲜活农产品出口需求；三是产品竞争力不足，澄迈农产品以初级产品为主，深加工比例低，缺乏符合海外市场需求的标准化产品。在自贸港封关运作背景下，推动海口经济圈跨境电商与澄迈物流、农业资源深度融合，是拓展农产品海外市场、提升产业附加值的关键路径。</w:t>
      </w:r>
    </w:p>
    <w:p w14:paraId="6A8F30F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4817A1E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搭建协同合作平台，打通资源对接通道 </w:t>
      </w:r>
    </w:p>
    <w:p w14:paraId="692D163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建立跨区域合作机制：由海口经济圈协同发展领导小组牵头，成立 “跨境电商 + 物流 + 农业” 融合发展工作组，统筹海口跨境电商平台资源、澄迈农业资源和物流资源。定期举办海口经济圈跨境电商农产品对接会，组织跨境电商企业、物流企业与澄迈农业龙头企业、合作社面对面洽谈。建立线上对接平台，整合农产品供应信息、跨境电商需求信息、物流服务信息，实现 “一键匹配、在线交易”。 </w:t>
      </w:r>
    </w:p>
    <w:p w14:paraId="7E990A5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共建跨境电商农产品基地：在澄迈建设海口经济圈跨境电商农产品直采基地，选址金马物流中心周边，整合福山咖啡、桥头地瓜等特色农产品资源，实现规模化种植、标准化生产。基地配备分拣、包装、检验检测等设施，为跨境电商提供标准化产品。鼓励跨境电商企业与基地签订长期采购协议，建立 “订单农业” 模式，根据海外市场需求指导农产品生产。 </w:t>
      </w:r>
    </w:p>
    <w:p w14:paraId="32484C7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共享跨境电商平台资源：支持澄迈农业企业入驻海口跨境电商综合试验区平台、海南国际农产品交易中心等平台，开设 “澄迈特色农产品专区”。借助海口跨境电商企业的海外渠道和品牌优势，推动澄迈农产品进入东南亚、欧美等海外市场。与海口共同申请 “跨境电商零售进口药品和医疗器械” 试点，拓展澄迈康养产品跨境电商业务。 </w:t>
      </w:r>
    </w:p>
    <w:p w14:paraId="1F1E9EC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完善物流配套体系，提升跨境物流效率 </w:t>
      </w:r>
    </w:p>
    <w:p w14:paraId="1E6EAA9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升级物流基础设施：扩建金马物流中心，建设跨境电商保税仓储区，面积不低于 2 万平方米，配备智能分拣、冷链存储等设施。提升马村港跨境物流功能，建设跨境电商专用通关通道，简化通关流程，实现 “一次申报、一次查验、一次放行”。对接海口秀英港至徐闻的跨海峡无人机物流航线，将澄迈农产品通过无人机转运至徐闻，再辐射粤港澳大湾区及全国，降低物流成本 30% 以上。 </w:t>
      </w:r>
    </w:p>
    <w:p w14:paraId="737B088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发展智慧冷链物流：建设澄迈农产品冷链物流体系，在金江镇、老城镇、福山镇建设 3 个区域性冷链物流中心，配备冷藏库、冷冻库和冷链运输车辆，实现农产品从采摘到出口全程冷链保障。引入物联网技术，对冷链物流车辆和仓储设施进行实时监控，确保农产品新鲜度。与海口冷链物流企业合作，共享冷链物流资源，降低单独建设成本。 </w:t>
      </w:r>
    </w:p>
    <w:p w14:paraId="14120D6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优化跨境物流服务：鼓励物流企业开通澄迈至东南亚的跨境物流专线，采用 “海运 + 空运” 组合模式，海运覆盖越南、泰国等周边国家，空运辐射欧美主要城市。与跨境物流平台合作，整合国际物流资源，提供 “门到门” 一站式物流服务。推行 “提前申报、属地查验、口岸放行” 模式，缩短通关时间至 24 小时内。借鉴秀英火山荔枝 “低空物流 + 智慧冷链” 模式，实现澄迈鲜活农产品 “朝采午至” 海外市场。 </w:t>
      </w:r>
    </w:p>
    <w:p w14:paraId="7284B03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提升农产品竞争力，适配海外市场需求 </w:t>
      </w:r>
    </w:p>
    <w:p w14:paraId="02156BA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推进农产品标准化生产：制定澄迈跨境电商农产品标准体系，明确种植、加工、包装、检验检测等标准，与国际标准接轨。建立农产品质量追溯体系，采用 “二维码 + 区块链” 技术，记录农产品从田间到海外市场的全流程信息，确保产品质量可追溯。加强检验检测能力建设，在金马物流中心建设跨境农产品检验检测中心，提供快速检测服务，确保产品符合进口国标准。 </w:t>
      </w:r>
    </w:p>
    <w:p w14:paraId="1261539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发展农产品深加工：支持农业龙头企业建设深加工生产线，开发咖啡速溶粉、地瓜干、福橙果汁等深加工产品，提升产品附加值。针对海外市场需求，开发小包装、便携装产品，适配跨境电商销售模式。引入先进加工技术，减少农产品损耗，延长保质期，如采用冻干技术处理果蔬产品，保质期可延长至 1 年以上。 </w:t>
      </w:r>
    </w:p>
    <w:p w14:paraId="0B148F2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加强品牌建设与营销：整合 “澄迈特色农产品” 公共品牌，统一品牌形象、包装设计和宣传推广。在跨境电商平台开设品牌旗舰店，加强品牌推广，提升国际知名度。与海外网红、博主合作，开展产品试吃、直播带货等营销活动，扩大海外市场影响力。参加国内外农产品展会、跨境电商博览会，推介澄迈跨境电商农产品，拓展海外客户资源。 </w:t>
      </w:r>
    </w:p>
    <w:p w14:paraId="0B9D524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强化政策支持保障，优化融合发展环境 </w:t>
      </w:r>
    </w:p>
    <w:p w14:paraId="6973183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出台专项扶持政策：制定《海口经济圈跨境电商与澄迈物流农业融合发展扶持办法》，对入驻跨境电商平台的澄迈农业企业给予年费补贴，对农产品深加工项目给予投资额 10%-20% 的补贴。对跨境物流企业给予运费补贴，对冷链物流设施建设给予资金支持。简化农产品出口通关手续，实行 “先通关后检疫” 模式，压缩审批时间。 </w:t>
      </w:r>
    </w:p>
    <w:p w14:paraId="3408033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人才培养与引进：联合海南大学、海南经贸职业技术学院等高校，开设跨境电商、物流管理等专业课程，定向培养复合型人才。举办跨境电商培训班，为澄迈农业企业、物流企业人员提供免费培训，提升业务能力。制定人才专项政策，对跨境电商领域高层次人才给予住房补贴、创业扶持等优惠，吸引人才落地。 </w:t>
      </w:r>
    </w:p>
    <w:p w14:paraId="32BA713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建立风险防控机制：建立跨境电商风险预警平台，实时监测海外市场贸易政策、技术壁垒、汇率波动等风险，及时向企业发布预警信息。加强知识产权保护，引导企业注册国际商标，防范侵权风险。建立农产品质量安全风险防控体系，定期开展质量抽检，确保产品符合进口国标准。做好封关运作背景下农业对外开放风险防范，严防外来物种入侵和农产品质量安全事件。</w:t>
      </w:r>
    </w:p>
    <w:p w14:paraId="69B65A1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4861A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5C62443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D328226">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四十三、澄迈如何提升基层医疗机构服务能力，减少群众跨区域就医？</w:t>
      </w:r>
    </w:p>
    <w:p w14:paraId="145608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029D562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澄迈县下辖 11 个镇、5 个农场，基层医疗机构包括镇卫生院 11 家、村卫生室 156 家，承担着农村居民常见病、多发病诊疗和公共卫生服务职能。但当前澄迈基层医疗机构服务能力薄弱，难以满足群众就医需求，导致大量群众前往海口等城市跨区域就医，增加了就医成本和负担。</w:t>
      </w:r>
    </w:p>
    <w:p w14:paraId="6804A0F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具体短板表现为：一是医疗人才短缺，镇卫生院普遍存在全科医生不足、专业技术人员流失等问题，村卫生室多由乡村医生坐诊，缺乏专业培训；二是医疗设备陈旧，镇卫生院缺乏 CT、彩超等大型诊疗设备，村卫生室仅配备基本诊疗器械，难以开展常规检查；三是服务能力有限，仅能提供常见病诊治和基本公共卫生服务，对慢性病管理、康复护理等服务覆盖不足；四是分级诊疗体系不完善，与县级医院、海口三甲医院缺乏有效联动，转诊通道不畅。在海南自贸港建设 “健康海南” 的背景下，提升基层医疗机构服务能力，构建 “小病不出村、常见病不出镇、大病不出县” 的就医格局，是保障群众健康权益、促进城乡公共服务均等化的重要举措。</w:t>
      </w:r>
    </w:p>
    <w:p w14:paraId="70BC6DA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07D67CC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加强人才队伍建设，夯实基层服务基础 </w:t>
      </w:r>
    </w:p>
    <w:p w14:paraId="5CC1393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拓宽人才引进渠道：制定基层医疗人才专项引进政策，面向全国招聘全科医生、内科、外科等专业技术人员，给予每人每年 3-5 万元的基层补贴，连续补贴 3 年。对引进的高层次医疗人才，提供住房、子女入学、科研经费等全方位支持。与海南医学院、三亚学院等高校合作，开展 “定向培养” 计划，每年培养 50 名左右本地医学专业学生，毕业后定向分配至基层医疗机构，签订 5 年以上服务协议，期间给予学费补偿。 </w:t>
      </w:r>
    </w:p>
    <w:p w14:paraId="548A198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强化人才培养培训：建立 “县级医院 + 镇卫生院 + 村卫生室” 三级培训体系，县级医院定期派专家到镇卫生院坐诊、带教，每年为每个镇卫生院培训不少于 10 名专业技术人员。组织基层医务人员参加省、县级继续教育项目，每年培训时间不少于 200 学时，重点提升常见病诊疗、慢性病管理、急诊急救等能力。开展乡村医生规范化培训，每年培训不少于 72 学时，考核合格者给予补贴，不合格者暂停执业资格。 </w:t>
      </w:r>
    </w:p>
    <w:p w14:paraId="1AC8260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完善人才激励机制：提高基层医务人员薪酬待遇，镇卫生院医务人员薪酬水平不低于县级医院同岗位平均水平的 1.2 倍，乡村医生基本报酬不低于当地农村居民人均可支配收入的 1.5 倍。建立绩效考核制度，将服务量、群众满意度、诊疗质量等纳入考核指标，考核结果与薪酬挂钩，实行 “多劳多得、优绩优酬”。畅通人才晋升渠道，基层医务人员在职称评审中给予倾斜，降低论文、科研等要求，侧重临床实践能力，镇卫生院医务人员晋升副高职称可不受岗位数额限制。 </w:t>
      </w:r>
    </w:p>
    <w:p w14:paraId="66DA238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升级医疗设备与设施，提升诊疗服务能力 </w:t>
      </w:r>
    </w:p>
    <w:p w14:paraId="45940D5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改善基层医疗设施条件：实施镇卫生院标准化建设工程，对 11 家镇卫生院进行改扩建，完善诊疗科室设置，每个镇卫生院至少设置全科、内科、外科、妇产科、儿科等基本科室。建设标准化村卫生室，对老旧村卫生室进行改造，配备基本诊疗设备、药品储存设施和急救设备，实现村卫生室标准化覆盖率 100%。在人口密集的镇建设区域医疗中心，整合医疗资源，提升区域诊疗能力。 </w:t>
      </w:r>
    </w:p>
    <w:p w14:paraId="3343C2A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配备必要医疗设备：为镇卫生院配备 CT、彩超、全自动生化分析仪等大型诊疗设备，每个镇卫生院设备投入不少于 500 万元，资金由县财政和上级补助共同承担。为村卫生室配备心电图机、血糖仪、血压计等基本诊疗设备和急救药品，确保能开展常规检查和应急处置。建立医疗设备共享机制，县级医院与镇卫生院共享大型医疗设备，开展远程检查和诊断服务，提高设备利用率。 </w:t>
      </w:r>
    </w:p>
    <w:p w14:paraId="50C0E78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进数字化医疗建设：建设澄迈县基层医疗信息化平台，整合镇卫生院、村卫生室诊疗数据、健康档案等信息，实现与县级医院、省级医疗平台互联互通。为镇卫生院配备远程诊疗终端，与海口三甲医院、县级医院建立远程会诊机制，让群众在基层即可享受优质医疗资源。推行 “互联网 + 医疗” 服务，开通线上问诊、预约挂号、药品配送等功能，方便群众就医。 </w:t>
      </w:r>
    </w:p>
    <w:p w14:paraId="7B2D4B7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拓展服务范围，提升服务精准度 </w:t>
      </w:r>
    </w:p>
    <w:p w14:paraId="3CBF8DE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基本医疗服务：镇卫生院重点提升常见病、多发病的诊疗能力，开展门诊、住院、手术等服务，每个镇卫生院能独立开展阑尾切除、剖宫产等常规手术。村卫生室主要提供常见病诊治、慢性病随访、疫苗接种等服务，为群众提供 “小病不出村” 的便捷服务。针对老年人、儿童、孕产妇等重点人群，提供上门巡诊、健康体检等服务，每年为 65 岁以上老人、0-6 岁儿童、孕产妇免费体检一次。 </w:t>
      </w:r>
    </w:p>
    <w:p w14:paraId="745A6AD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加强公共卫生服务：完善慢性病管理体系，对高血压、糖尿病等慢性病患者实行规范化管理，建立健康档案，定期随访、监测病情，管理率达到 90% 以上。开展传染病防控工作，加强流感、手足口病等传染病的监测和预警，做好疫苗接种和应急处置。推进健康促进与教育，通过宣传栏、健康讲座、短视频等形式，普及健康知识，提升群众健康意识。 </w:t>
      </w:r>
    </w:p>
    <w:p w14:paraId="4575C5C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拓展特色服务项目：根据群众需求，在镇卫生院开设康复护理、中医理疗、心理咨询等特色科室，引入针灸、推拿、中药调理等中医药服务，满足群众多样化健康需求。针对农村老年人多的特点，开展养老护理服务，为失能、半失能老人提供上门护理、康复指导等服务。与海口康养机构合作，引入先进康养理念和技术，提升基层康养服务水平。 </w:t>
      </w:r>
    </w:p>
    <w:p w14:paraId="04847D0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完善分级诊疗体系，促进医疗资源协同 </w:t>
      </w:r>
    </w:p>
    <w:p w14:paraId="76657DD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建立双向转诊机制：制定分级诊疗病种目录，明确基层医疗机构、县级医院、海口三甲医院的诊疗范围，引导群众合理就医。建立 “基层首诊、双向转诊、急慢分治、上下联动” 的分级诊疗模式，常见病、多发病在基层就诊，重症、疑难病症转诊至县级医院或海口三甲医院，康复期患者转回基层医疗机构进行康复治疗。开通双向转诊绿色通道，基层医疗机构可直接预约县级医院、海口三甲医院专家门诊和检查，转诊患者优先就诊、优先住院。 </w:t>
      </w:r>
    </w:p>
    <w:p w14:paraId="28FDB01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医联体建设：由澄迈县人民医院、县中医院牵头，与镇卫生院、村卫生室组建紧密型医联体，实现医疗资源共享、人员互通、管理统一。县级医院定期派专家到医联体成员单位坐诊、带教、查房，提升基层服务能力。医联体内部实行检查结果互认、药品目录统一、病历资料共享，减少重复检查，降低就医成本。与海口三甲医院建立跨区域医联体，签订合作协议，开展专家会诊、远程医疗、人才培训等合作。 </w:t>
      </w:r>
    </w:p>
    <w:p w14:paraId="01A4253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优化医保支付政策：实行差异化医保报销比例，鼓励群众在基层医疗机构就诊，在村卫生室、镇卫生院、县级医院就诊的医保报销比例分别提高至 90%、80%、70%，在海口等跨区域就医的报销比例降低 10-20%。将慢性病门诊用药、康复护理等服务纳入医保报销范围，提高门诊统筹报销限额。对医联体内部转诊的患者，实行 “一次起付线” 政策，减轻患者负担。</w:t>
      </w:r>
    </w:p>
    <w:p w14:paraId="6193F3B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8085F4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75CC73B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6B4B6BD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0C741EEB">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lang w:val="en-US" w:eastAsia="zh-CN"/>
        </w:rPr>
      </w:pPr>
      <w:bookmarkStart w:id="122" w:name="_Toc15615"/>
      <w:r>
        <w:rPr>
          <w:rFonts w:hint="eastAsia" w:ascii="楷体_GB2312" w:hAnsi="楷体_GB2312" w:eastAsia="楷体_GB2312" w:cs="楷体_GB2312"/>
          <w:sz w:val="28"/>
          <w:szCs w:val="28"/>
          <w:lang w:val="en-US" w:eastAsia="zh-CN"/>
        </w:rPr>
        <w:t>四十四、澄迈数字经济如何赋能传统农业，提升生产效率与附加值？</w:t>
      </w:r>
      <w:bookmarkEnd w:id="122"/>
    </w:p>
    <w:p w14:paraId="378AF5C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32240CE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澄迈作为海南农业大县，拥有福山咖啡、桥头地瓜、澄迈福橙等特色农产品，年产量超 50 万吨，农业是县域经济的重要支柱。但当前传统农业面临三大痛点：一是生产方式粗放，依赖经验种植，水肥管理、病虫害防治缺乏精准化手段，单位产量波动较大；二是产业链条短，以初级产品销售为主，深加工比例不足 15%，附加值较低；三是产销对接不畅，信息不对称导致 “丰产不丰收”，仓储物流配套滞后加剧损耗。在海南自贸港建设与数字经济发展的双重机遇下，以数字技术赋能传统农业，推动生产智能化、加工精细化、销售数字化，是澄迈农业转型升级、提升核心竞争力的关键路径。</w:t>
      </w:r>
    </w:p>
    <w:p w14:paraId="5923D6B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4B506202">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构建智慧农业生产体系，提升种植养殖效率 </w:t>
      </w:r>
    </w:p>
    <w:p w14:paraId="7675CCE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部署农业物联网监测网络：在福山咖啡种植基地、桥头地瓜种植区等核心产区，安装土壤墒情传感器、气象监测站、病虫害智能监测设备等物联网终端，覆盖面积超 10 万亩。通过 5G 网络实现数据实时传输，建立 “土壤 - 气象 - 作物” 三维监测模型，为农户提供精准种植建议，例如根据土壤湿度数据自动调控灌溉量，减少水资源浪费 30% 以上；通过病虫害监测数据提前预警，农药使用量降低 20%。 </w:t>
      </w:r>
    </w:p>
    <w:p w14:paraId="2DC273F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广智能种植养殖设备：补贴农户购置无人机植保、智能水肥一体机、自动饲喂设备等，重点在福橙种植园推广无人机施肥、病虫害统防统治，在澄迈畜禽养殖基地推广智能温控、粪便无害化处理设备。建立设备共享平台，由村集体或专业合作社集中采购，农户按需租赁，降低单个农户投入成本，预计核心产区机械化、智能化覆盖率 2027 年提升至 60%。 </w:t>
      </w:r>
    </w:p>
    <w:p w14:paraId="15530F9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搭建农业大数据决策平台：整合气象数据、土壤数据、作物生长数据、市场需求数据等，建立澄迈农业大数据中心。与海南大学、省农科院合作，开发作物生长预测模型、产量预估模型，为政府制定产业规划、农户调整种植结构提供数据支撑。例如根据市场对高品质咖啡的需求增长趋势，引导福山咖啡种植户调整品种结构，增加高附加值品种种植比例。 </w:t>
      </w:r>
    </w:p>
    <w:p w14:paraId="769F408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推动农产品加工数字化，延伸产业链条 </w:t>
      </w:r>
    </w:p>
    <w:p w14:paraId="053933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设数字化加工生产线：支持农业龙头企业升级加工设备，引入智能分拣、精准加工、自动化包装等数字化生产线。例如在澄迈福橙深加工企业，部署智能分选设备，根据大小、甜度、色泽自动分级，提升产品标准化水平；在福山咖啡加工厂，采用数字化烘焙控制系统，精准控制温度、时间，保证产品品质一致性，深加工产品附加值较初级产品提升 2-3 倍。 </w:t>
      </w:r>
    </w:p>
    <w:p w14:paraId="548A614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开发农产品溯源体系：运用区块链技术构建 “从田间到餐桌” 的全流程溯源系统，为每批次农产品赋予唯一溯源二维码。消费者扫码可查看种植地块、施肥用药记录、加工流程、物流信息等，增强产品可信度。同时，溯源数据与农业大数据平台打通，实现质量问题可追溯、责任可追究，助力澄迈农产品打造 “安全、优质” 品牌形象。 </w:t>
      </w:r>
    </w:p>
    <w:p w14:paraId="28B8E2C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培育数字赋能的农产品精深加工产业：依托数字技术开发个性化、功能性农产品，例如利用大数据分析海外市场消费偏好，开发小包装、便携装咖啡速溶粉、地瓜干等产品，适配跨境电商销售；结合消费者健康需求，开发富硒地瓜代餐粉、福橙益生菌饮品等功能性食品，通过数字化研发平台优化配方，提升产品竞争力。 </w:t>
      </w:r>
    </w:p>
    <w:p w14:paraId="3A8BF0E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搭建数字化产销对接平台，畅通流通渠道 </w:t>
      </w:r>
    </w:p>
    <w:p w14:paraId="5646204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本地农产品电商生态圈：升级澄迈农产品公共服务平台，整合种植户、合作社、加工企业、电商企业资源，提供产品展示、在线交易、物流对接、金融服务等一站式功能。与淘宝、京东、拼多多等主流电商平台合作，开设 “澄迈特色农产品专区”，培育 10 家以上年销售额超千万元的本土电商企业。鼓励农户、合作社入驻抖音、快手等短视频平台，通过直播带货、短视频推广等形式，直接对接终端消费者，减少中间环节。 </w:t>
      </w:r>
    </w:p>
    <w:p w14:paraId="2F70F11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数字化仓储物流配套：建设澄迈农产品冷链物流数字化中心，配备智能温控系统、库存管理系统，实现仓储环境实时监控、库存动态预警、订单快速响应。对接海口经济圈物流资源，利用金马物流中心的物流枢纽优势，搭建 “产地仓 - 区域仓 - 销售终端” 的数字化物流网络，通过大数据优化配送路线，降低物流成本，将农产品损耗率从当前的 25% 降至 10% 以下。 </w:t>
      </w:r>
    </w:p>
    <w:p w14:paraId="56D7B61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发展订单农业数字化模式：通过电商平台、大数据分析预测市场需求，推动 “以销定产”。鼓励跨境电商企业、大型商超与农业合作社签订长期采购协议，明确产品标准、收购价格，农户根据订单组织生产。建立订单履约数字化监管平台，保障双方权益，稳定产销关系，避免 “丰产不丰收”。 </w:t>
      </w:r>
    </w:p>
    <w:p w14:paraId="29FAD84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强化数字技术推广与人才支撑，夯实赋能基础 </w:t>
      </w:r>
    </w:p>
    <w:p w14:paraId="3D29665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开展数字农业技能培训：联合海南经贸职业技术学院、澄迈中等职业学校，开设智慧农业操作、电商运营、短视频直播等课程，每年培训农户、合作社负责人、农业企业员工不少于 2000 人次。组建数字农业专家服务团队，深入田间地头开展一对一指导，帮助农户掌握物联网设备操作、大数据平台使用等技能。 </w:t>
      </w:r>
    </w:p>
    <w:p w14:paraId="33AE453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培育数字农业服务商：引进或培育 3-5 家专业数字农业服务企业，为农户和合作社提供物联网部署、数据分析、电商运营等专业化服务。政府通过购买服务的方式，为小农户提供免费或低价的数字技术服务，解决小农户 “不会用、用不起” 的问题。 </w:t>
      </w:r>
    </w:p>
    <w:p w14:paraId="23FDDEC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加大政策资金支持：设立数字农业发展专项基金，对物联网设备购置、数字化加工生产线升级、电商平台建设给予补贴，补贴比例最高可达 30%。落实税收优惠政策，对数字农业企业、农产品电商企业减免增值税地方留存部分，吸引社会资本参与数字农业项目建设。</w:t>
      </w:r>
    </w:p>
    <w:p w14:paraId="5CA2574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09658E1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7EE8645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E5268F2">
      <w:pPr>
        <w:keepNext w:val="0"/>
        <w:keepLines w:val="0"/>
        <w:pageBreakBefore w:val="0"/>
        <w:kinsoku/>
        <w:wordWrap/>
        <w:overflowPunct/>
        <w:topLinePunct w:val="0"/>
        <w:autoSpaceDE/>
        <w:autoSpaceDN/>
        <w:bidi w:val="0"/>
        <w:adjustRightInd/>
        <w:snapToGrid/>
        <w:textAlignment w:val="auto"/>
        <w:outlineLvl w:val="1"/>
        <w:rPr>
          <w:rFonts w:hint="eastAsia" w:ascii="楷体_GB2312" w:hAnsi="楷体_GB2312" w:eastAsia="楷体_GB2312" w:cs="楷体_GB2312"/>
          <w:sz w:val="28"/>
          <w:szCs w:val="28"/>
          <w:lang w:val="en-US" w:eastAsia="zh-CN"/>
        </w:rPr>
      </w:pPr>
      <w:bookmarkStart w:id="123" w:name="_Toc3587"/>
      <w:r>
        <w:rPr>
          <w:rFonts w:hint="eastAsia" w:ascii="楷体_GB2312" w:hAnsi="楷体_GB2312" w:eastAsia="楷体_GB2312" w:cs="楷体_GB2312"/>
          <w:sz w:val="28"/>
          <w:szCs w:val="28"/>
          <w:lang w:val="en-US" w:eastAsia="zh-CN"/>
        </w:rPr>
        <w:t>四十五、澄迈如何推动城乡供水、供电等基础设施一体化建设？</w:t>
      </w:r>
      <w:bookmarkEnd w:id="123"/>
    </w:p>
    <w:p w14:paraId="17413E3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6F87B6D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澄迈下辖 11 个镇、5 个农场，城乡发展不平衡问题较为突出，基础设施一体化是促进城乡融合发展的重要支撑。当前城乡基础设施存在明显差距：供水方面，县城供水管网完善、水质达标，但农村地区供水管网老化严重，部分村庄仍依赖井水、地表水，供水保证率不足 85%，水质安全缺乏有效保障；供电方面，县城电网架构完善，供电可靠性高，但农村电网供电容量不足，部分偏远村庄存在电压不稳、停电频繁等问题，难以满足农村产业发展和居民生活用电需求；此外，城乡污水处理、垃圾清运等基础设施也存在 “重城市、轻农村” 的现象。在海南自贸港建设推动城乡公共服务均等化的背景下，加快推进城乡基础设施一体化，实现供水同源、供电同网、污水垃圾同治，是澄迈改善民生福祉、促进城乡协调发展的必然要求。</w:t>
      </w:r>
    </w:p>
    <w:p w14:paraId="145480E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70D01B1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推进城乡供水一体化，保障饮水安全 </w:t>
      </w:r>
    </w:p>
    <w:p w14:paraId="3EB1BC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优化供水水源布局：整合全县水资源，重点保护松涛水库、南渡江等饮用水源地，推进城乡统一水源建设。扩建县城水厂，提升供水能力，新建农村集中供水工程，将县城水厂管网向周边乡镇延伸，实现 “一源供水、全域覆盖”。对偏远乡镇建设独立供水站，采用超滤、反渗透等先进水处理技术，确保水质达到国家饮用水标准。 </w:t>
      </w:r>
    </w:p>
    <w:p w14:paraId="07C1766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改造升级供水管网：实施城乡供水管网更新改造工程，重点更换农村地区老化、漏损严重的供水管网，全县供水管网漏损率 2027 年控制在 10% 以内。推进供水管网互联互通，构建 “环状管网” 供水格局，提高供水可靠性，避免单一管线故障导致大面积停水。建立管网数字化管理平台，通过 GIS 系统实现管网可视化管理，实时监测管网运行状态，快速定位维修故障点。 </w:t>
      </w:r>
    </w:p>
    <w:p w14:paraId="55F84D0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建立统一供水管理机制：整合县城自来水公司与农村供水站，成立城乡供水一体化运营公司，实行 “统一规划、统一建设、统一管理、统一收费”。制定城乡统一的供水价格和服务标准，对农村低收入群体实行水费减免政策，保障基本用水需求。加强水质检测能力建设，在县城水厂和农村供水站配备水质快速检测设备，建立 “日检测、周报告、月公示” 制度，确保水质安全。 </w:t>
      </w:r>
    </w:p>
    <w:p w14:paraId="1A4FF89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完善城乡供电一体化网络，提升供电保障能力 </w:t>
      </w:r>
    </w:p>
    <w:p w14:paraId="0ECC578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升级农村电网基础设施：实施农村电网改造升级工程，新增 110 千伏变电站 2 座、35 千伏变电站 3 座，改造 10 千伏及以下线路超 200 公里，提升农村电网供电容量和可靠性。重点保障农产品加工、乡村旅游、农村电商等产业用电需求，在特色农业产区、乡村旅游示范点预留供电接口，满足产业发展扩容需求。 </w:t>
      </w:r>
    </w:p>
    <w:p w14:paraId="2EC143D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动城乡电网互联互通：优化电网架构，实现县城电网与农村电网无缝衔接，提高电力资源调配效率。建设智能电网调度平台，整合城乡供电数据，实现负荷预测、故障预警、应急调度智能化，农村地区供电可靠率 2027 年提升至 99.8% 以上，电压合格率达到 99.5%。 </w:t>
      </w:r>
    </w:p>
    <w:p w14:paraId="2CAF0BA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广清洁能源供电：结合澄迈光照资源优势，在农村地区推广分布式光伏发电，支持农户、村集体建设光伏电站，自发自用、余电上网。在畜禽养殖基地、农产品加工园区建设光伏储能一体化项目，提高清洁能源使用比例，降低用电成本。建立城乡清洁能源消纳机制，保障清洁能源优先并网发电。 </w:t>
      </w:r>
    </w:p>
    <w:p w14:paraId="10C914FA">
      <w:pPr>
        <w:keepNext w:val="0"/>
        <w:keepLines w:val="0"/>
        <w:pageBreakBefore w:val="0"/>
        <w:kinsoku/>
        <w:wordWrap/>
        <w:overflowPunct/>
        <w:topLinePunct w:val="0"/>
        <w:autoSpaceDE/>
        <w:autoSpaceDN/>
        <w:bidi w:val="0"/>
        <w:adjustRightInd/>
        <w:snapToGrid/>
        <w:textAlignment w:val="auto"/>
        <w:outlineLvl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统筹城乡污水处理与垃圾处理设施，改善人居环境 </w:t>
      </w:r>
    </w:p>
    <w:p w14:paraId="0F9A58F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设城乡一体化污水处理体系：在县城扩建污水处理厂，提升处理能力；在重点乡镇建设小型污水处理站，在村庄建设分散式污水处理设施，采用生态处理技术，实现污水就近处理、达标排放。铺设城乡污水收集管网，将县城周边乡镇、村庄污水接入县城污水处理厂，构建 “县城污水处理厂 + 乡镇污水处理站 + 村庄污水处理设施” 三级处理网络，2027 年城乡污水处理率分别提升至 95%、70%。 </w:t>
      </w:r>
    </w:p>
    <w:p w14:paraId="3B0C5C6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推进城乡垃圾收运处置一体化：完善 “村收集、镇转运、县处理” 的垃圾收运体系，在村庄设置垃圾分类收集点，配备密闭式垃圾收集箱；在乡镇建设垃圾转运站，配备压缩式转运车辆；升级县城垃圾焚烧发电厂，提升垃圾处理能力。建立垃圾分类数字化管理平台，对垃圾收运、处置全程跟踪，提高垃圾分类准确率和资源化利用率，2027 年城乡生活垃圾无害化处理率达到 100%。 </w:t>
      </w:r>
    </w:p>
    <w:p w14:paraId="66138E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强化政策保障与机制创新，确保建设实效 </w:t>
      </w:r>
    </w:p>
    <w:p w14:paraId="7EE965D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加大资金投入力度：建立 “政府主导、社会参与、农民自筹” 的资金投入机制，县财政每年安排基础设施一体化建设专项资金，积极争取中央、省级财政补助。通过 PPP 模式、特许经营等方式，吸引社会资本参与供水、污水处理、垃圾处理等设施建设和运营，减轻政府财政压力。 </w:t>
      </w:r>
    </w:p>
    <w:p w14:paraId="0E286C6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统筹协调机制：成立城乡基础设施一体化建设领导小组，统筹规划、建设、管理等工作，打破部门壁垒、城乡分割。建立跨部门联席会议制度，定期协调解决项目推进中的用地、审批、资金等问题，确保项目按时落地。 </w:t>
      </w:r>
    </w:p>
    <w:p w14:paraId="1690557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完善管护长效机制：明确城乡基础设施管护主体、责任和经费来源，供水、供电设施由运营企业负责日常管护，污水处理、垃圾处理设施由专业机构运营。建立管护经费保障机制，将管护费用纳入县财政预算，同时通过收取水费、垃圾处理费等弥补部分成本，确保设施长期稳定运行。</w:t>
      </w:r>
    </w:p>
    <w:p w14:paraId="03E78C5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0403240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723E770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6C6FA33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8572A45">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四十六、澄迈如何参与海南国际通信枢纽建设，提升跨境数据传输能力？</w:t>
      </w:r>
    </w:p>
    <w:p w14:paraId="614C9DD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7CE5681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海南国际通信枢纽是国家 “东数西算” 工程的重要节点，旨在打造面向太平洋、印度洋的跨境数据流通枢纽。澄迈作为海口经济圈重要成员，毗邻海口美兰国际机场、马村港，拥有金马物流中心等物流枢纽，具备参与国际通信枢纽建设的区位优势。但当前澄迈在跨境数据传输领域存在明显短板：一是通信基础设施薄弱，5G 网络覆盖虽已实现乡镇级全覆盖，但农村地区深度覆盖不足，跨境通信带宽资源有限；二是缺乏数据中心、跨境数据服务平台等核心载体，难以承接跨境数据存储、处理业务；三是数字产业基础薄弱，缺乏跨境数据服务、数据安全等领域的专业企业和人才。在海南自贸港封关运作临近、数据跨境流动政策逐步放开的背景下，澄迈主动融入海南国际通信枢纽建设，提升跨境数据传输能力，不仅能承接自贸港政策红利，更能培育数字经济新增长点，增强县域经济竞争力。</w:t>
      </w:r>
    </w:p>
    <w:p w14:paraId="05BA3CC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0572B58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升级通信基础设施，夯实跨境数据传输硬件基础 </w:t>
      </w:r>
    </w:p>
    <w:p w14:paraId="2C6E86B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 5G 网络与光纤网络覆盖：推进 5G 网络 “县乡村” 三级全覆盖，重点提升农村地区、产业园区、物流枢纽的 5G 信号质量，实现核心区域 5G 网络连续覆盖、速率稳定。加快光纤网络升级，推进 “千兆城市” 建设，实现县城、乡镇千兆光纤全覆盖，农村地区百兆光纤全覆盖，家庭宽带平均接入速率提升至 500Mbps 以上。对接海南国际通信枢纽骨干网络，争取增加澄迈至海口国际通信出入口的带宽配额，提升跨境数据传输容量。 </w:t>
      </w:r>
    </w:p>
    <w:p w14:paraId="0C22C4C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布局边缘数据中心：依托金马物流中心的区位优势，规划建设澄迈边缘数据中心，定位为面向东南亚的跨境数据存储、处理节点。按照绿色数据中心标准建设，采用光伏储能一体化供电，PUE 值控制在 1.2 以下。重点服务跨境电商、跨境物流、数字贸易等领域企业，提供低时延、高可靠的数据存储和处理服务，与海口核心数据中心形成功能互补。 </w:t>
      </w:r>
    </w:p>
    <w:p w14:paraId="7F5E932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设跨境数据传输专用通道：积极争取省通信管理局支持，建设澄迈至香港、新加坡等国际通信枢纽的跨境数据传输专用通道，优化传输路由，降低跨境数据传输时延，将澄迈至东南亚主要城市的跨境数据传输时延控制在 50 毫秒以内。推动专用通道与跨境电商平台、国际物流企业、数字贸易企业对接，满足企业跨境数据传输需求。 </w:t>
      </w:r>
    </w:p>
    <w:p w14:paraId="3CAAB10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打造跨境数据服务载体，培育数字产业生态 </w:t>
      </w:r>
    </w:p>
    <w:p w14:paraId="6B44494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建设澄迈跨境数据服务产业园：在老城经济开发区规划建设跨境数据服务产业园，规划面积超 500 亩，重点吸引跨境数据处理、数据安全、跨境电商技术服务等企业入驻。园区内建设共享办公空间、数据安全测试中心、跨境数据交易撮合平台等配套设施，提供税收优惠、租金补贴、人才补贴等政策支持，打造 “基础设施 + 产业载体 + 政策支持” 的产业生态。 </w:t>
      </w:r>
    </w:p>
    <w:p w14:paraId="79C425A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搭建跨境数据流通服务平台：与海南国际数据交易中心合作，在澄迈设立分平台，聚焦农产品跨境贸易数据、跨境物流数据等特色领域，提供数据清洗、数据脱敏、数据交易等服务。建立数据安全合规评估机制，确保跨境数据流通符合《海南自由贸易港数据跨境流动安全管理办法》要求，为企业提供合规咨询、安全评估等一站式服务。 </w:t>
      </w:r>
    </w:p>
    <w:p w14:paraId="6624B10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培育本土跨境数据服务企业：支持本地企业转型发展跨境数据服务业务，重点培育为澄迈特色农产品跨境电商提供数据营销、供应链数据管理的企业。引进国内外知名跨境数据服务企业设立区域总部或研发中心，带动本土企业提升技术水平和服务能力，形成 “龙头企业引领、中小企业配套” 的产业格局。 </w:t>
      </w:r>
    </w:p>
    <w:p w14:paraId="3CB6164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强化政策支持与人才保障，优化发展环境 </w:t>
      </w:r>
    </w:p>
    <w:p w14:paraId="6EDB514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出台专项扶持政策：制定《澄迈县支持跨境数据产业发展若干措施》，对入驻跨境数据服务产业园的企业，给予 3 年租金减免；对企业购置服务器、数据安全设备等固定资产，给予投资额 10%-20% 的补贴；对跨境数据服务企业缴纳的企业所得税地方留存部分，前 3 年全额返还，后 2 年返还 50%。设立跨境数据产业发展基金，规模不低于 5 亿元，支持企业技术研发、市场拓展。 </w:t>
      </w:r>
    </w:p>
    <w:p w14:paraId="3234EEB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人才引育：与海南大学、海南经贸职业技术学院等高校合作，开设数据科学、跨境数据安全、数字贸易等专业课程，定向培养本土专业人才。制定跨境数据产业人才专项政策，对引进的高层次人才给予住房补贴、子女入学、科研经费等支持，吸引国内外数字经济领域人才落地澄迈。 </w:t>
      </w:r>
    </w:p>
    <w:p w14:paraId="61F9F7C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数据安全监管体系：成立澄迈县数据安全管理领导小组，统筹数据安全监管工作。建设数据安全监测平台，对跨境数据传输、存储、处理全程监测，及时发现和处置数据安全风险。与第三方数据安全机构合作，为企业提供数据安全测评、漏洞扫描等服务，保障跨境数据流通安全。 </w:t>
      </w:r>
    </w:p>
    <w:p w14:paraId="63FC5A3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深化区域协同与国际合作，融入全球数据网络 </w:t>
      </w:r>
    </w:p>
    <w:p w14:paraId="21D652D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加强与海口经济圈协同：对接海口国际通信枢纽核心区建设，主动承接数据存储、数据备份、跨境数据预处理等配套业务，形成 “海口核心处理 + 澄迈配套支撑” 的协同格局。共享海口的国际通信出入口资源、数据交易平台资源，降低建设成本，提升服务能力。 </w:t>
      </w:r>
    </w:p>
    <w:p w14:paraId="1A8F88C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动与东南亚国家合作：借助海南自贸港与东南亚国家的经贸合作优势，与新加坡、泰国等国家的通信枢纽、数据中心建立合作关系，开展跨境数据互联互通、数据标准互认等试点。吸引东南亚跨境电商、物流企业在澄迈设立数据服务节点，推动澄迈成为面向东南亚的跨境数据流通中转站。 </w:t>
      </w:r>
    </w:p>
    <w:p w14:paraId="1FBA20E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参与数据跨境流动规则试点：积极争取纳入海南自贸港数据跨境流动 “白名单” 试点，探索符合澄迈产业特色的数据跨境流动模式，例如针对农产品跨境贸易数据，建立简化的数据跨境流动流程，为全国数据跨境流动规则创新提供 “澄迈样本”。</w:t>
      </w:r>
    </w:p>
    <w:p w14:paraId="617B876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B21442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7865CF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5B78870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2A47D09">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四十七、海口经济圈会展资源如何整合，支持澄迈打造特色会展品牌？</w:t>
      </w:r>
    </w:p>
    <w:p w14:paraId="6FB6350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52B8B36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海口经济圈涵盖海口、澄迈、文昌、定安等市县，海口作为核心城市，拥有海南国际会展中心、海口湾演艺中心等成熟会展载体，年举办会展活动超 200 场，具备较强的会展资源集聚能力。澄迈依托特色农业、康养产业、工业旅游等资源，近年来尝试举办福山咖啡文化节、桥头地瓜丰收节等小型会展活动，但存在三大短板：一是会展载体规模小、设施落后，缺乏能承接大型会展的专业场馆；二是会展品牌影响力弱，活动策划、宣传推广、招商招展能力不足，参与人群以本地为主；三是会展产业链不完善，缺乏专业的会展策划公司、搭建公司、物流服务商等配套企业。在海南建设国际旅游消费中心的背景下，整合海口经济圈会展资源，借力海口的平台优势、客源优势、产业优势，结合澄迈的特色资源，打造具有区域影响力的特色会展品牌，是澄迈提升城市知名度、带动相关产业发展的重要路径。</w:t>
      </w:r>
    </w:p>
    <w:p w14:paraId="32E2A75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7C3DE70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构建会展资源共享机制，实现优势互补 </w:t>
      </w:r>
    </w:p>
    <w:p w14:paraId="38C4C12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会展场馆共享平台：整合海口国际会展中心、澄迈福山咖啡文化会展中心、文昌椰林会展中心等经济圈内地会展场馆资源，建立线上共享平台，公开场馆规模、设施条件、档期安排等信息，实现资源统筹调度。针对澄迈缺乏大型会展场馆的问题，与海口国际会展中心签订长期合作协议，澄迈举办大型特色会展活动时，优先使用海口的场馆资源，并享受场地租赁优惠；海口举办大型会展时，可在澄迈设置分会场或配套活动场地，实现联动。 </w:t>
      </w:r>
    </w:p>
    <w:p w14:paraId="3FAFC45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共享客源与渠道资源：依托海口作为区域交通枢纽和旅游目的地的优势，整合海口的旅行社、酒店、航空公司等客源渠道，将澄迈特色会展活动纳入海口旅游线路产品。例如在海口举办国际旅游岛欢乐节、海南国际农产品交易会时，组织参会嘉宾、游客赴澄迈参加咖啡文化节、地瓜丰收节等配套活动，扩大澄迈会展的参与人群。共享海口的国内外招商招展渠道，借助海口在会展行业的知名度和合作网络，为澄迈特色会展邀请国内外知名企业、行业专家参与。 </w:t>
      </w:r>
    </w:p>
    <w:p w14:paraId="5F588F7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整合会展服务资源：组建海口经济圈会展服务联盟，整合经济圈内的会展策划、搭建、物流、翻译、广告宣传等配套企业，为澄迈特色会展提供一站式服务。针对澄迈会展服务企业薄弱的问题，鼓励海口的优质会展服务企业在澄迈设立分支机构或开展合作，提升澄迈会展活动的策划水平和执行能力。 </w:t>
      </w:r>
    </w:p>
    <w:p w14:paraId="6FB3950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打造特色会展品牌体系，突出澄迈优势 </w:t>
      </w:r>
    </w:p>
    <w:p w14:paraId="21ABF12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做强农业特色会展：升级现有会展活动，将福山咖啡文化节升级为 “海南国际咖啡产业博览会”，增加咖啡种植技术论坛、咖啡产品交易会、咖啡文化体验等环节，邀请国内外咖啡企业、经销商参与，打造华南地区具有影响力的咖啡产业会展品牌；将桥头地瓜丰收节升级为 “海南（澄迈）富硒农产品交易会”，集中展示澄迈福橙、桥头地瓜、福山咖啡等富硒农产品，搭建产销对接平台。与海口国际农产品交易会联动，实现 “一展一会” 互补，扩大影响力。 </w:t>
      </w:r>
    </w:p>
    <w:p w14:paraId="3EF75FE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培育康养与工业旅游会展：依托澄迈的温泉资源、长寿文化，举办 “海南（澄迈）国际康养产业博览会”，聚焦康养旅游、健康食品、养老服务等领域，邀请国内外康养产业企业、专家参与，打造康养产业交流合作平台。借助澄迈的工业旅游资源，举办 “海南工业旅游博览会”，展示海南生态软件园、福山咖啡工业园等工业旅游示范点，推动工业与旅游、会展融合发展。 </w:t>
      </w:r>
    </w:p>
    <w:p w14:paraId="0069B2E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策划跨境会展活动：借助海南自贸港封关运作机遇，结合澄迈作为海口经济圈跨境电商重要节点的优势，举办 “海南（澄迈）跨境农产品贸易博览会”，吸引东南亚国家农产品经销商、跨境电商企业参与，打造面向东南亚的农产品跨境贸易会展平台。与海口的跨境电商交易会联动，实现 “跨境贸易 + 特色农产品” 的会展融合。 </w:t>
      </w:r>
    </w:p>
    <w:p w14:paraId="0D3798C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完善会展配套设施，提升承载能力 </w:t>
      </w:r>
    </w:p>
    <w:p w14:paraId="5627303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澄迈本地会展载体：扩建澄迈福山咖啡文化会展中心，提升场馆面积和设施水平，新增国际标准展位、同声传译设备、智能会议系统等，使其具备承接中型会展活动的能力。在桥头地瓜种植核心区、澄迈福橙主产区建设小型特色会展场地，结合田园风光打造 “田间会展” 场景，提升参会体验。 </w:t>
      </w:r>
    </w:p>
    <w:p w14:paraId="6D73DC7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优化交通与住宿配套：加强澄迈与海口的交通衔接，加密城乡公交线路、旅游专线，缩短两地通勤时间至 30 分钟以内。提升澄迈的住宿接待能力，在福山咖啡文化旅游区、老城经济开发区新增一批中高端酒店和特色民宿，满足会展参会人员的住宿需求。完善会展周边的餐饮、购物、休闲等配套设施，提升综合服务水平。 </w:t>
      </w:r>
    </w:p>
    <w:p w14:paraId="4295B04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设会展数字化平台：搭建海口经济圈会展数字化服务平台，整合澄迈特色会展活动信息、报名注册、票务预订、交通住宿预约等功能，为参会人员提供一站式服务。利用大数据分析参会人员需求，精准推送澄迈的旅游景点、特色美食、农产品等信息，促进会展与旅游、消费融合。 </w:t>
      </w:r>
    </w:p>
    <w:p w14:paraId="1F6C763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强化政策支持与品牌推广，扩大影响力 </w:t>
      </w:r>
    </w:p>
    <w:p w14:paraId="0962681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出台会展产业扶持政策：联合海口、文昌、定安等市县制定海口经济圈会展产业协同发展政策，设立会展产业发展专项基金，对在澄迈举办的特色会展活动，根据规模和影响力给予最高 500 万元的补贴；对引进的大型会展项目，给予落地奖励；对会展企业缴纳的税收给予地方留存部分返还。支持澄迈会展企业参加国内外会展行业展会，提升品牌知名度。 </w:t>
      </w:r>
    </w:p>
    <w:p w14:paraId="2601054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加强品牌宣传推广：整合海口经济圈的宣传资源，在央视、省级媒体、新媒体平台等渠道，联合推广澄迈特色会展品牌。制作澄迈会展宣传视频、宣传册，突出 “富硒农产品”“咖啡文化”“康养产业” 等特色亮点。借助海口举办国际会展的契机，在海口的场馆、媒体平台投放澄迈会展宣传广告，扩大曝光度。 </w:t>
      </w:r>
    </w:p>
    <w:p w14:paraId="4832104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推动会展与相关产业融合：促进会展与农业、旅游、康养、跨境电商等产业深度融合，延伸会展产业链。例如咖啡产业博览会期间，举办咖啡采摘体验、咖啡制作培训、咖啡主题旅游等活动；康养产业博览会期间，推出康养旅游套餐、健康体检套餐等产品。通过会展带动农产品销售、旅游收入增长，实现 “以会促产、以会兴城”。</w:t>
      </w:r>
    </w:p>
    <w:p w14:paraId="5D04BE9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5044A10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427CB82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57B02192">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四十八、澄迈如何建立企业碳排放核算体系，助力 “双碳” 目标实现？</w:t>
      </w:r>
    </w:p>
    <w:p w14:paraId="52EB8EE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24DE1DD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实现 “碳达峰、碳中和” 是国家重大战略，海南作为国家生态文明试验区，明确提出 2030 年前实现碳达峰、2060 年前实现碳中和的目标。澄迈作为海南工业和农业大县，碳排放来源主要包括工业企业生产排放、农业种植养殖排放、城乡能源消费排放等，其中工业企业（如化工、建材、食品加工企业）和农业种植养殖是主要碳排放源。当前澄迈尚未建立系统的企业碳排放核算体系，存在核算标准不统一、数据收集困难、监管机制不完善等问题，难以准确掌握企业碳排放情况，影响 “双碳” 目标的推进。在海南自贸港建设强调生态保护的背景下，建立科学规范的企业碳排放核算体系，精准核算企业碳排放量，引导企业节能减排，是澄迈践行绿色发展理念、实现高质量发展的必然要求。</w:t>
      </w:r>
    </w:p>
    <w:p w14:paraId="42DADA6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323E72B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构建统一的碳排放核算标准体系，明确核算范围与方法 </w:t>
      </w:r>
    </w:p>
    <w:p w14:paraId="70B6DB1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明确核算范围与对象：按照国家《温室气体核算与报告指南》，结合澄迈产业特点，确定企业碳排放核算范围，涵盖能源活动、工业生产过程、农业活动、废弃物处理等领域。将澄迈辖区内年综合能耗 5000 吨标准煤以上的工业企业、占地面积 500 亩以上的农业种植基地、大型畜禽养殖企业、年营业额超亿元的服务业企业等列为重点核算对象，逐步扩大至所有规模以上企业。 </w:t>
      </w:r>
    </w:p>
    <w:p w14:paraId="3516901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制定本地化核算方法：参考国家和省级核算标准，结合澄迈企业实际，制定《澄迈县企业碳排放核算实施细则》。针对工业企业，明确化石燃料燃烧、工业生产过程中碳排放的核算方法；针对农业企业，制定水稻种植、畜禽养殖等碳排放核算方法，重点核算甲烷、氧化亚氮等温室气体排放；针对服务业企业，聚焦能源消费碳排放核算。建立核算数据采集清单，明确企业需上报的能源消耗、原料使用、产品产量等数据指标。 </w:t>
      </w:r>
    </w:p>
    <w:p w14:paraId="27B4A8D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统一数据核算标准：规范数据统计口径，明确能源消耗、碳排放因子等数据的取值标准，例如工业企业煤炭、电力消耗数据以能源统计报表为准，碳排放因子采用国家公布的缺省值或企业实测值（经第三方机构验证）。建立数据质量控制机制，确保企业上报数据的真实性、准确性和完整性。 </w:t>
      </w:r>
    </w:p>
    <w:p w14:paraId="41822AB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建立碳排放数据收集与监测机制，确保数据真实可靠 </w:t>
      </w:r>
    </w:p>
    <w:p w14:paraId="4CCD739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搭建数字化数据收集平台：建设澄迈县企业碳排放核算信息平台，企业通过平台在线填报碳排放数据，包括能源消耗数据、工业生产数据、农业生产数据、废弃物处理数据等。平台具备数据自动校验、异常预警、统计分析等功能，实现数据收集、审核、汇总全流程数字化。要求重点企业安装能源计量监测设备，实现能源消耗数据实时采集、自动上传，提高数据收集效率和准确性。 </w:t>
      </w:r>
    </w:p>
    <w:p w14:paraId="3D966C6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明确数据收集责任主体：企业作为碳排放数据申报的责任主体，需建立健全内部碳排放核算管理制度，指定专人负责数据收集、整理和上报，确保数据真实完整。行业主管部门负责督促本行业企业按时上报数据，对数据申报情况进行监督检查。环保部门负责数据审核和汇总分析，建立企业碳排放数据库。 </w:t>
      </w:r>
    </w:p>
    <w:p w14:paraId="3EA95C2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引入第三方核查机制：委托具备资质的第三方机构对重点企业的碳排放数据进行年度核查，核查结果作为企业碳排放核算的最终依据。第三方机构需按照核算标准和实施细则，对企业的数据来源、核算方法、计算过程进行全面核查，出具核查报告。建立第三方机构信用评价体系，确保核查工作的客观性和公正性。 </w:t>
      </w:r>
    </w:p>
    <w:p w14:paraId="1F9FF35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完善碳排放监管与激励机制，引导企业节能减排 </w:t>
      </w:r>
    </w:p>
    <w:p w14:paraId="59F9FBC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建立碳排放预警与管控机制：根据企业碳排放数据和区域 “双碳” 目标，制定企业碳排放总量控制指标和强度控制指标。对超过控制指标的企业发出预警，要求其制定减排方案，限期整改；对连续两年超标的企业，采取限制生产、暂停新项目审批等管控措施。将企业碳排放情况纳入环境信用评价体系，与企业信贷、评优评先挂钩。 </w:t>
      </w:r>
    </w:p>
    <w:p w14:paraId="5B0CCE4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出台节能减排激励政策：设立澄迈县节能减排专项基金，对碳排放强度下降幅度大、减排效果显著的企业给予资金奖励；对企业实施的节能改造项目、清洁能源替代项目、碳捕集利用项目等，给予投资额 10%-20% 的补贴。落实国家和省级的税收优惠政策，对符合条件的节能减排企业，减免环境保护税、享受企业所得税优惠。 </w:t>
      </w:r>
    </w:p>
    <w:p w14:paraId="1380B91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培育碳交易市场参与主体：引导重点排放企业参与海南碳交易市场，支持企业通过节能改造产生的碳减排量进行交易，获得经济收益。鼓励企业开发林业碳汇、农业碳汇项目，将碳汇量纳入碳交易市场，拓宽减排途径。开展碳资产管理培训，帮助企业提升碳交易和碳资产管理能力。 </w:t>
      </w:r>
    </w:p>
    <w:p w14:paraId="64CE8A2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强化能力建设与宣传引导，营造良好氛围 </w:t>
      </w:r>
    </w:p>
    <w:p w14:paraId="4431224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专业人才培养：与海南大学、省环境科学研究院合作，开展碳排放核算、碳资产管理、节能减排技术等方面的培训，培养一批具备专业能力的核算人员和管理人员。邀请专家为企业提供一对一指导，帮助企业掌握碳排放核算方法和节能减排技术。 </w:t>
      </w:r>
    </w:p>
    <w:p w14:paraId="0707E9C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提升企业主体意识：通过政策宣讲会、培训班、宣传手册、新媒体等多种渠道，向企业宣传 “双碳” 政策和碳排放核算的重要性，提高企业的责任意识和参与积极性。总结推广节能减排先进企业的经验做法，发挥示范引领作用。 </w:t>
      </w:r>
    </w:p>
    <w:p w14:paraId="3CB69FF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建立部门协同工作机制：成立澄迈县 “双碳” 工作领导小组，统筹协调环保、发改、工信、农业、统计等部门的工作，明确各部门在碳排放核算、监管、激励等方面的职责分工。建立部门联席会议制度，定期通报企业碳排放核算情况，协调解决工作推进中的问题，形成工作合力。</w:t>
      </w:r>
    </w:p>
    <w:p w14:paraId="2E17B56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05C119B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1D35C70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25851342">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0322601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4CF95FF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4B0C3B75">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四十九、澄迈如何吸引更多数字经济龙头企业设立区域总部或研发中心？</w:t>
      </w:r>
    </w:p>
    <w:p w14:paraId="7591F2B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73C9905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数字经济是海南自贸港重点发展的产业之一，澄迈作为海口经济圈的重要组成部分，拥有海南生态软件园这一核心载体，已集聚一批数字经济企业，但相较于海口、三亚，仍存在龙头企业少、产业集聚度低、创新能力不足等问题。当前吸引数字经济龙头企业面临三大挑战：一是产业生态不完善，缺乏上下游配套企业，龙头企业落地后难以快速形成产业链协同；二是人才短缺，缺乏数字经济领域的高端技术人才和管理人才，人才引育留用机制不健全；三是政策吸引力不足，与国内先进地区相比，在税收优惠、资金支持、场景开放等方面的政策竞争力有待提升。在海南自贸港封关运作、数字经济加速发展的背景下，吸引数字经济龙头企业设立区域总部或研发中心，能带动产业链上下游企业集聚，提升澄迈数字经济产业能级，为县域经济高质量发展注入新动能。</w:t>
      </w:r>
    </w:p>
    <w:p w14:paraId="5C6259F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25A2ECF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优化产业载体建设，打造数字经济集聚高地 </w:t>
      </w:r>
    </w:p>
    <w:p w14:paraId="74EC7A6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海南生态软件园配套：扩大园区规模，完善办公、研发、生活配套设施，建设高品质人才公寓、国际学校、国际医院、商业综合体等，提升园区承载力。建设数字经济创新孵化中心，提供共享办公空间、实验室、测试平台等，为龙头企业的研发中心提供专业化载体。推进园区 5G 网络、工业互联网、数据中心等数字基础设施升级，满足龙头企业的技术需求。 </w:t>
      </w:r>
    </w:p>
    <w:p w14:paraId="38608F0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打造特色数字产业园区：依托金马物流中心，建设跨境电商数字产业园，重点吸引跨境电商龙头企业设立区域总部或运营中心；依托澄迈农业优势，建设农业数字经济产业园，吸引农业科技、农产品电商等领域龙头企业入驻。园区内设立产业基金、知识产权服务中心、法律财税服务中心等配套机构，为企业提供全生命周期服务。 </w:t>
      </w:r>
    </w:p>
    <w:p w14:paraId="624A816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进产城融合发展：将海南生态软件园与老城经济开发区、福山咖啡文化旅游区联动发展，实现产业、居住、休闲功能融合。完善园区与周边区域的交通衔接，开通园区至海口市区、美兰国际机场的快速公交线路，提升交通便利性。 </w:t>
      </w:r>
    </w:p>
    <w:p w14:paraId="79AF90F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出台精准化政策支持体系，增强政策吸引力 </w:t>
      </w:r>
    </w:p>
    <w:p w14:paraId="3C37A3F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强化税收与资金支持：针对数字经济龙头企业，出台专项税收优惠政策，企业所得税地方留存部分前 5 年全额返还，增值税地方留存部分前 3 年全额返还、后 2 年返还 50%；对企业设立的区域总部或研发中心，给予最高 5000 万元的落地奖励，分 3 年兑现。设立数字经济产业发展基金，规模不低于 10 亿元，对龙头企业的重大项目给予股权投资支持。 </w:t>
      </w:r>
    </w:p>
    <w:p w14:paraId="26BD4A6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提供场地与人才补贴：为龙头企业提供免费或低价的办公、研发场地，租赁期最长可达 5 年；对企业自建总部大楼或研发中心的，给予土地出让金返还和建设补贴。针对数字经济高端人才，给予最高 200 万元的安家补贴，提供人才公寓、子女入学、配偶就业、医疗保障等一站式服务；对企业引进的高层次人才，给予个人所得税地方留存部分全额返还。 </w:t>
      </w:r>
    </w:p>
    <w:p w14:paraId="259F83D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开放应用场景资源：梳理澄迈的政务服务、农业、文旅、康养等领域的数字化应用场景，向数字经济龙头企业开放。例如在智慧农业领域，开放农业物联网监测、农产品溯源等场景；在智慧城市领域，开放交通管理、环境监测、政务服务等场景，支持龙头企业开展技术研发和产品应用试点，加速技术落地。 </w:t>
      </w:r>
    </w:p>
    <w:p w14:paraId="39A1729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完善人才引育留用机制，破解人才瓶颈 </w:t>
      </w:r>
    </w:p>
    <w:p w14:paraId="26F81D5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加强高端人才引进：制定数字经济高端人才目录，面向全球引进人工智能、大数据、云计算、跨境数据安全等领域的顶尖人才和创新团队。与国内外知名高校、科研机构建立合作关系，通过 “柔性引才”“项目合作” 等方式，吸引专家学者为澄迈数字经济发展提供智力支持。举办数字经济人才招聘会、创新创业大赛等活动，搭建人才对接平台。 </w:t>
      </w:r>
    </w:p>
    <w:p w14:paraId="21EA51A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培育本土人才：与海南大学、海南经贸职业技术学院等高校合作，开设数字经济相关专业，定向培养大数据分析师、软件开发工程师等本土专业人才。支持海南生态软件园开展企业内部培训、技能提升培训，政府给予培训补贴。建立人才实习基地，吸引高校学生到澄迈数字经济企业实习，为企业储备后备人才。 </w:t>
      </w:r>
    </w:p>
    <w:p w14:paraId="1B276E0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优化人才发展环境：改善人才居住条件，建设高品质人才社区，配套优质教育、医疗、商业资源。营造良好的创新创业氛围，设立数字经济创新创业扶持资金，支持人才创业项目。建立人才评价激励机制，对做出突出贡献的数字经济人才给予表彰奖励，激发人才创新活力。 </w:t>
      </w:r>
    </w:p>
    <w:p w14:paraId="401C537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强化产业生态构建与区域协同，提升综合竞争力 </w:t>
      </w:r>
    </w:p>
    <w:p w14:paraId="5AD5B51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推动产业链上下游协同：围绕龙头企业的需求，针对性引进配套企业，形成 “龙头企业 + 配套企业” 的产业集群。鼓励龙头企业与本地中小企业开展合作，带动本地企业技术升级和产品创新。建设数字经济产业公共服务平台，提供技术研发、知识产权、法律财税、市场推广等共享服务，降低企业运营成本。 </w:t>
      </w:r>
    </w:p>
    <w:p w14:paraId="7AECF3D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深化与海口经济圈协同：依托海口的科教资源、金融资源、交通优势，与海口建立数字经济产业协同发展机制。吸引海口的数字经济企业到澄迈设立生产基地或研发中心，共享澄迈的场地资源和应用场景；借助海口的金融机构，为澄迈数字经济龙头企业提供融资支持。与海口联合举办数字经济产业论坛、创新创业大赛等活动，提升区域数字经济产业知名度。 </w:t>
      </w:r>
    </w:p>
    <w:p w14:paraId="0176FB8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加强与自贸港政策衔接：充分利用海南自贸港的政策优势，为数字经济龙头企业提供跨境数据流动、跨境金融、人才引进等方面的政策支持。争取将澄迈纳入海南自贸港数字经济创新发展试点，享受数据跨境流动 “白名单”、税收优惠等特殊政策，增强对龙头企业的吸引力。</w:t>
      </w:r>
    </w:p>
    <w:p w14:paraId="1084A3E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769865B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40C7AC43">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3D07D2B1">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p>
    <w:p w14:paraId="583F959F">
      <w:pPr>
        <w:keepNext w:val="0"/>
        <w:keepLines w:val="0"/>
        <w:pageBreakBefore w:val="0"/>
        <w:kinsoku/>
        <w:wordWrap/>
        <w:overflowPunct/>
        <w:topLinePunct w:val="0"/>
        <w:autoSpaceDE/>
        <w:autoSpaceDN/>
        <w:bidi w:val="0"/>
        <w:adjustRightInd/>
        <w:snapToGrid/>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五十、澄迈如何在自贸港封关后，进一步发挥 “桥头堡” 作用，承接政策红利？</w:t>
      </w:r>
    </w:p>
    <w:p w14:paraId="5AC1CCB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核心问题细化背景</w:t>
      </w:r>
    </w:p>
    <w:p w14:paraId="00DA2A7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澄迈地处海口经济圈核心位置，毗邻海口美兰国际机场、马村港，拥有金马物流中心、海南生态软件园等重要载体，是海南自贸港连接内地、辐射东南亚的重要 “桥头堡”。2025 年海南自贸港封关运作后，将实施 “零关税、低税率、简税制” 等一系列特殊政策，为县域经济发展带来重大机遇。但当前澄迈在承接政策红利方面存在三大短板：一是产业基础薄弱，以农业和传统工业为主，高端制造业、现代服务业占比低，难以充分承接封关后的产业转移和政策红利；二是对外开放水平不高，跨境贸易、跨境投资规模较小，与东南亚国家的经贸合作不够深入；三是基础设施和公共服务有待提升，与封关后高水平对外开放的要求仍有差距。在封关运作的关键节点，澄迈需找准定位、补齐短板，进一步强化 “桥头堡” 功能，承接自贸港政策红利，实现县域经济跨越式发展。</w:t>
      </w:r>
    </w:p>
    <w:p w14:paraId="73B1DAB0">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具体细化方向</w:t>
      </w:r>
    </w:p>
    <w:p w14:paraId="4A1D368C">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强化物流枢纽功能，打造跨境贸易中转基地 </w:t>
      </w:r>
    </w:p>
    <w:p w14:paraId="6ADD26D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物流基础设施：扩建金马物流中心，建设跨境电商保税仓储区、冷链物流中心，配备智能分拣、自动化仓储等设施，提升货物存储和转运能力。提升马村港跨境物流功能，建设跨境电商专用通关通道，优化通关流程，实现 “一次申报、一次查验、一次放行”，缩短通关时间至 24 小时内。对接海口秀英港至徐闻的跨海峡无人机物流航线，将澄迈农产品、工业品通过无人机转运至徐闻，再辐射粤港澳大湾区及全国，降低物流成本。 </w:t>
      </w:r>
    </w:p>
    <w:p w14:paraId="1B2024F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发展跨境物流产业：吸引国内外知名物流企业在澄迈设立区域总部或转运中心，培育本土跨境物流企业，构建 “海运 + 空运 + 陆运” 多式联运物流网络。开通澄迈至东南亚的跨境物流专线，重点覆盖越南、泰国、马来西亚等国家，为跨境贸易提供 “门到门” 一站式物流服务。与跨境电商平台合作，建设跨境电商物流产业园，实现仓储、分拣、配送、通关一体化运作。 </w:t>
      </w:r>
    </w:p>
    <w:p w14:paraId="67E34BBD">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承接 “零关税” 政策红利：利用自贸港 “零关税” 政策，吸引企业在澄迈开展 “零关税” 商品加工、仓储、分销业务。重点发展 “零关税” 原材料加工产业，如利用零关税进口的农产品加工设备、化工原料等，发展农产品深加工、高端化工等产业；建设 “零关税” 商品展示交易中心，吸引国内外消费者和经销商，打造区域性 “零关税” 商品集散基地。 </w:t>
      </w:r>
    </w:p>
    <w:p w14:paraId="37A4627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深化产业对接与合作，打造自贸港产业配套基地 </w:t>
      </w:r>
    </w:p>
    <w:p w14:paraId="1128D24E">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承接海口产业转移与配套：依托海口作为自贸港核心城市的产业优势，承接海口高端制造业的配套生产、研发外包等业务。例如为海口的新能源汽车产业提供零部件生产配套，为海口的数字经济产业提供数据存储、呼叫中心等外包服务。与海口联合建设产业合作园区，实现 “海口研发 + 澄迈生产”“海口总部 + 澄迈基地” 的协同发展模式。 </w:t>
      </w:r>
    </w:p>
    <w:p w14:paraId="3BD3B325">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发展跨境电商与数字贸易：依托海南生态软件园，吸引跨境电商龙头企业设立区域总部或运营中心，建设跨境电商产业集群。利用自贸港跨境数据流动政策，发展数字贸易、跨境服务外包等产业，重点吸引人工智能、大数据、云计算等领域的企业在澄迈设立研发中心或运营中心。与东南亚国家开展数字经济合作，建设面向东南亚的数字服务出口基地。 </w:t>
      </w:r>
    </w:p>
    <w:p w14:paraId="41C5C7C8">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传统产业，承接政策赋能：推动澄迈农业、传统工业借助自贸港政策实现转型升级。在农业领域，利用零关税进口的农业机械和技术，发展智慧农业、高端农产品深加工，提升农产品附加值；在工业领域，利用自贸港税收优惠和金融支持，推动传统工业企业进行技术改造和产品升级，发展高端制造、绿色制造。 </w:t>
      </w:r>
    </w:p>
    <w:p w14:paraId="0A3D1BAB">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提升对外开放水平，打造跨境合作交流平台 </w:t>
      </w:r>
    </w:p>
    <w:p w14:paraId="6E94E5E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加强与东南亚国家经贸合作：利用自贸港封关后与东南亚国家贸易便利化的优势，扩大澄迈特色农产品、工业品对东南亚的出口。组织企业参加东南亚国家的农产品交易会、工业博览会等活动，搭建经贸对接平台。在东南亚国家设立澄迈特色农产品展示中心、分销中心，拓展海外市场。吸引东南亚国家的企业在澄迈设立采购中心、区域总部，开展跨境投资合作。 </w:t>
      </w:r>
    </w:p>
    <w:p w14:paraId="041B5B6A">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对接 RCEP 等国际经贸规则：深入研究 RCEP 等国际经贸规则，引导企业利用关税减免、原产地规则等优惠政策，扩大进出口贸易。建设 RCEP 跨境贸易服务中心，为企业提供关税咨询、原产地认证、贸易纠纷调解等一站式服务。与 RCEP 成员国的相关城市建立友好合作关系，开展产业、文旅、教育等领域的交流合作。 </w:t>
      </w:r>
    </w:p>
    <w:p w14:paraId="68145CF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发展跨境文旅与康养产业：依托澄迈的温泉资源、长寿文化、咖啡文化，吸引东南亚国家的游客赴澄迈旅游、康养。开发跨境文旅线路，串联澄迈的福山咖啡文化旅游区、红树林湿地、温泉度假区等景点，与海口、三亚的旅游线路形成联动。建设面向东南亚的跨境康养基地，提供中医理疗、温泉养生、健康管理等服务，打造区域性康养旅游目的地。 </w:t>
      </w:r>
    </w:p>
    <w:p w14:paraId="0CEED664">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完善基础设施与公共服务，优化营商环境 储能项目建设，保障数字经济、高端制造等产业的能源需求。 </w:t>
      </w:r>
    </w:p>
    <w:p w14:paraId="78346FB9">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提升政务服务与营商环境：深化 “放管服” 改革，推行 “极简审批”“一网通办”，优化企业注册、项目审批等流程，压缩审批时间。建立与自贸港政策相适应的监管体系，营造市场化、法治化、国际化的营商环境。加强知识产权保护，建立知识产权侵权快速查处机制，保护企业创新成果。 </w:t>
      </w:r>
    </w:p>
    <w:p w14:paraId="42617C76">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完善公共服务配套：提升教育、医疗、商业等公共服务水平，建设国际学校、国际医院，满足外籍人才和高端人才的需求。优化人才服务，为企业引进的人才提供住房、子女入学、医疗保障等一站式服务，增强人才吸引力。加强语言服务能力建设，普及英语和东南亚国家语言，营造良好的对外开放语言环境。</w:t>
      </w:r>
    </w:p>
    <w:p w14:paraId="126BC20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升级交通与能源基础设施：加强与海口的交通互联互通，推进跨海通道规划建设前期工作，缩短与内地的时空距离。完善县域内交通网络，提升乡镇、产业园区的交通通达性。优化能源供应，推进分布式光伏发电、储能项目建设，保障数字经济、高端制造等产业的能源需求。 </w:t>
      </w:r>
    </w:p>
    <w:p w14:paraId="19AFDD37">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提升政务服务与营商环境：深化 “放管服” 改革，推行 “极简审批”“一网通办”，优化企业注册、项目审批等流程，压缩审批时间。建立与自贸港政策相适应的监管体系，营造市场化、法治化、国际化的营商环境。加强知识产权保护，建立知识产权侵权快速查处机制，保护企业创新成果。 </w:t>
      </w:r>
    </w:p>
    <w:p w14:paraId="784C2BFF">
      <w:pPr>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完善公共服务配套：提升教育、医疗、商业等公共服务水平，建设国际学校、国际医院，满足外籍人才和高端人才的需求。优化人才服务，为企业引进的人才提供住房、子女入学、医疗保障等一站式服务，增强人才吸引力。加强语言服务能力建设，普及英语和东南亚国家语言，营造良好的对外开放语言环境。</w:t>
      </w:r>
    </w:p>
    <w:p w14:paraId="785704AB">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54972E4D">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143FB365">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038B65E9">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69D19443">
      <w:pPr>
        <w:keepNext w:val="0"/>
        <w:keepLines w:val="0"/>
        <w:pageBreakBefore w:val="0"/>
        <w:kinsoku/>
        <w:wordWrap/>
        <w:overflowPunct/>
        <w:topLinePunct w:val="0"/>
        <w:autoSpaceDE/>
        <w:autoSpaceDN/>
        <w:bidi w:val="0"/>
        <w:adjustRightInd/>
        <w:snapToGrid/>
        <w:textAlignment w:val="auto"/>
        <w:rPr>
          <w:rFonts w:hint="eastAsia"/>
          <w:sz w:val="28"/>
          <w:szCs w:val="28"/>
        </w:rPr>
      </w:pPr>
      <w:r>
        <w:rPr>
          <w:rFonts w:hint="eastAsia"/>
          <w:sz w:val="28"/>
          <w:szCs w:val="28"/>
          <w:lang w:val="en-US" w:eastAsia="zh-CN"/>
        </w:rPr>
        <w:t>、</w:t>
      </w:r>
    </w:p>
    <w:p w14:paraId="359A5BFD">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4BA153FC">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49170B17">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0C307B19">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75AD99C9">
      <w:pPr>
        <w:keepNext w:val="0"/>
        <w:keepLines w:val="0"/>
        <w:pageBreakBefore w:val="0"/>
        <w:kinsoku/>
        <w:wordWrap/>
        <w:overflowPunct/>
        <w:topLinePunct w:val="0"/>
        <w:autoSpaceDE/>
        <w:autoSpaceDN/>
        <w:bidi w:val="0"/>
        <w:adjustRightInd/>
        <w:snapToGrid/>
        <w:textAlignment w:val="auto"/>
        <w:rPr>
          <w:rFonts w:hint="eastAsia"/>
          <w:sz w:val="28"/>
          <w:szCs w:val="28"/>
        </w:rPr>
      </w:pPr>
    </w:p>
    <w:p w14:paraId="1144C809">
      <w:pPr>
        <w:keepNext w:val="0"/>
        <w:keepLines w:val="0"/>
        <w:pageBreakBefore w:val="0"/>
        <w:kinsoku/>
        <w:wordWrap/>
        <w:overflowPunct/>
        <w:topLinePunct w:val="0"/>
        <w:autoSpaceDE/>
        <w:autoSpaceDN/>
        <w:bidi w:val="0"/>
        <w:adjustRightInd/>
        <w:snapToGrid/>
        <w:textAlignment w:val="auto"/>
        <w:rPr>
          <w:rFonts w:hint="eastAsia"/>
          <w:sz w:val="28"/>
          <w:szCs w:val="28"/>
        </w:rPr>
        <w:sectPr>
          <w:footerReference r:id="rId5" w:type="default"/>
          <w:pgSz w:w="11906" w:h="16838"/>
          <w:pgMar w:top="1440" w:right="1080" w:bottom="1440" w:left="1080" w:header="851" w:footer="992" w:gutter="0"/>
          <w:pgNumType w:fmt="numberInDash" w:start="1"/>
          <w:cols w:space="425" w:num="1"/>
          <w:docGrid w:type="lines" w:linePitch="312" w:charSpace="0"/>
        </w:sectPr>
      </w:pPr>
    </w:p>
    <w:p w14:paraId="0A6DB2BA">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r>
        <w:rPr>
          <w:sz w:val="21"/>
        </w:rPr>
        <mc:AlternateContent>
          <mc:Choice Requires="wps">
            <w:drawing>
              <wp:anchor distT="0" distB="0" distL="114300" distR="114300" simplePos="0" relativeHeight="251686912" behindDoc="1" locked="0" layoutInCell="1" allowOverlap="1">
                <wp:simplePos x="0" y="0"/>
                <wp:positionH relativeFrom="column">
                  <wp:posOffset>-680085</wp:posOffset>
                </wp:positionH>
                <wp:positionV relativeFrom="paragraph">
                  <wp:posOffset>-671195</wp:posOffset>
                </wp:positionV>
                <wp:extent cx="107950" cy="433070"/>
                <wp:effectExtent l="0" t="0" r="6350" b="5080"/>
                <wp:wrapNone/>
                <wp:docPr id="41" name="矩形 11"/>
                <wp:cNvGraphicFramePr/>
                <a:graphic xmlns:a="http://schemas.openxmlformats.org/drawingml/2006/main">
                  <a:graphicData uri="http://schemas.microsoft.com/office/word/2010/wordprocessingShape">
                    <wps:wsp>
                      <wps:cNvSpPr/>
                      <wps:spPr>
                        <a:xfrm>
                          <a:off x="0" y="0"/>
                          <a:ext cx="107950" cy="433070"/>
                        </a:xfrm>
                        <a:prstGeom prst="rect">
                          <a:avLst/>
                        </a:prstGeom>
                        <a:solidFill>
                          <a:srgbClr val="4A6F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53.55pt;margin-top:-52.85pt;height:34.1pt;width:8.5pt;z-index:-251629568;v-text-anchor:middle;mso-width-relative:page;mso-height-relative:page;" fillcolor="#4A6FA5" filled="t" stroked="f" coordsize="21600,21600" o:gfxdata="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TjUBzZAAAADQEAAA8AAAAAAAAAAQAgAAAAIgAAAGRycy9kb3ducmV2LnhtbFBLAQIUABQA&#10;AAAIAIdO4kAVGXrd7wEAAMcDAAAOAAAAAAAAAAEAIAAAACgBAABkcnMvZTJvRG9jLnhtbFBLBQYA&#10;AAAABgAGAFkBAACJBQAAAAA=&#10;">
                <v:fill on="t" focussize="0,0"/>
                <v:stroke on="f" weight="1pt" miterlimit="8" joinstyle="miter"/>
                <v:imagedata o:title=""/>
                <o:lock v:ext="edit" aspectratio="f"/>
              </v:rect>
            </w:pict>
          </mc:Fallback>
        </mc:AlternateContent>
      </w:r>
      <w:r>
        <w:rPr>
          <w:rFonts w:hint="eastAsia" w:ascii="方正小标宋简体" w:hAnsi="方正小标宋简体" w:eastAsia="方正小标宋简体" w:cs="方正小标宋简体"/>
          <w:b/>
          <w:bCs/>
          <w:sz w:val="44"/>
          <w:szCs w:val="44"/>
          <w:lang w:val="en-US" w:eastAsia="zh-CN"/>
        </w:rPr>
        <w:t>【SAAT出品】</w:t>
      </w:r>
      <w:r>
        <w:drawing>
          <wp:anchor distT="0" distB="0" distL="114300" distR="114300" simplePos="0" relativeHeight="251687936" behindDoc="0" locked="0" layoutInCell="1" allowOverlap="1">
            <wp:simplePos x="0" y="0"/>
            <wp:positionH relativeFrom="column">
              <wp:posOffset>4506595</wp:posOffset>
            </wp:positionH>
            <wp:positionV relativeFrom="paragraph">
              <wp:posOffset>-716280</wp:posOffset>
            </wp:positionV>
            <wp:extent cx="2265045" cy="522605"/>
            <wp:effectExtent l="0" t="0" r="1905" b="10795"/>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8"/>
                    <a:srcRect l="4801" t="13319" r="6389" b="6624"/>
                    <a:stretch>
                      <a:fillRect/>
                    </a:stretch>
                  </pic:blipFill>
                  <pic:spPr>
                    <a:xfrm>
                      <a:off x="0" y="0"/>
                      <a:ext cx="2265045" cy="522605"/>
                    </a:xfrm>
                    <a:prstGeom prst="rect">
                      <a:avLst/>
                    </a:prstGeom>
                  </pic:spPr>
                </pic:pic>
              </a:graphicData>
            </a:graphic>
          </wp:anchor>
        </w:drawing>
      </w:r>
    </w:p>
    <w:p w14:paraId="18E85CAE">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三亚高质量发展系列报告名录（2025版）</w:t>
      </w:r>
    </w:p>
    <w:p w14:paraId="6BA6CA24">
      <w:pPr>
        <w:rPr>
          <w:rFonts w:hint="eastAsia" w:ascii="仿宋_GB2312" w:hAnsi="仿宋_GB2312" w:eastAsia="仿宋_GB2312" w:cs="仿宋_GB2312"/>
          <w:b w:val="0"/>
          <w:bCs w:val="0"/>
          <w:kern w:val="2"/>
          <w:sz w:val="32"/>
          <w:szCs w:val="32"/>
          <w:lang w:val="en-US" w:eastAsia="zh-CN" w:bidi="ar-SA"/>
        </w:rPr>
      </w:pPr>
    </w:p>
    <w:p w14:paraId="101D3D2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1"/>
        <w:rPr>
          <w:rFonts w:hint="eastAsia" w:ascii="黑体" w:hAnsi="黑体" w:eastAsia="黑体" w:cs="黑体"/>
          <w:b w:val="0"/>
          <w:bCs w:val="0"/>
          <w:kern w:val="2"/>
          <w:sz w:val="32"/>
          <w:szCs w:val="32"/>
          <w:lang w:val="en-US" w:eastAsia="zh-CN" w:bidi="ar-SA"/>
        </w:rPr>
      </w:pPr>
      <w:bookmarkStart w:id="124" w:name="_Toc27707"/>
      <w:r>
        <w:rPr>
          <w:rFonts w:hint="eastAsia" w:ascii="黑体" w:hAnsi="黑体" w:eastAsia="黑体" w:cs="黑体"/>
          <w:b w:val="0"/>
          <w:bCs w:val="0"/>
          <w:kern w:val="2"/>
          <w:sz w:val="32"/>
          <w:szCs w:val="32"/>
          <w:lang w:val="en-US" w:eastAsia="zh-CN" w:bidi="ar-SA"/>
        </w:rPr>
        <w:t>一、定位发展系列（六部）</w:t>
      </w:r>
      <w:bookmarkEnd w:id="124"/>
    </w:p>
    <w:p w14:paraId="71402F6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《“海南自由贸易港建设标杆”三亚建设报告》</w:t>
      </w:r>
    </w:p>
    <w:p w14:paraId="38C64CA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《“国际旅游消费中心核心区”三亚建设报告》</w:t>
      </w:r>
    </w:p>
    <w:p w14:paraId="4EB3880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《“全国种业深海科技产业创新示范区”三亚建设报告》</w:t>
      </w:r>
    </w:p>
    <w:p w14:paraId="2F9001B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《“国家重大战略服务保障区”三亚建设报告》</w:t>
      </w:r>
    </w:p>
    <w:p w14:paraId="2B6FD4D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《“美丽中国先行区”三亚建设报告》</w:t>
      </w:r>
    </w:p>
    <w:p w14:paraId="0DA2195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《“全省城乡协调发展和两个文明提升样板区”三亚建设报告》</w:t>
      </w:r>
    </w:p>
    <w:p w14:paraId="7CC0746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1"/>
        <w:rPr>
          <w:rFonts w:hint="eastAsia" w:ascii="黑体" w:hAnsi="黑体" w:eastAsia="黑体" w:cs="黑体"/>
          <w:b w:val="0"/>
          <w:bCs w:val="0"/>
          <w:kern w:val="2"/>
          <w:sz w:val="32"/>
          <w:szCs w:val="32"/>
          <w:lang w:val="en-US" w:eastAsia="zh-CN" w:bidi="ar-SA"/>
        </w:rPr>
      </w:pPr>
      <w:bookmarkStart w:id="125" w:name="_Toc12027"/>
      <w:r>
        <w:rPr>
          <w:rFonts w:hint="eastAsia" w:ascii="黑体" w:hAnsi="黑体" w:eastAsia="黑体" w:cs="黑体"/>
          <w:b w:val="0"/>
          <w:bCs w:val="0"/>
          <w:kern w:val="2"/>
          <w:sz w:val="32"/>
          <w:szCs w:val="32"/>
          <w:lang w:val="en-US" w:eastAsia="zh-CN" w:bidi="ar-SA"/>
        </w:rPr>
        <w:t>二、新质生产力系列（五部）</w:t>
      </w:r>
      <w:bookmarkEnd w:id="125"/>
    </w:p>
    <w:p w14:paraId="28C7981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《三亚“向种图强”报告》</w:t>
      </w:r>
    </w:p>
    <w:p w14:paraId="53CE9DA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《三亚“向海图强”报告》</w:t>
      </w:r>
    </w:p>
    <w:p w14:paraId="226E27B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《三亚“向天图强”报告》</w:t>
      </w:r>
    </w:p>
    <w:p w14:paraId="30AF30C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《三亚“向绿图强”报告》</w:t>
      </w:r>
    </w:p>
    <w:p w14:paraId="459DDCA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《三亚“向数图强”报告》</w:t>
      </w:r>
    </w:p>
    <w:p w14:paraId="2120B76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1"/>
        <w:rPr>
          <w:rFonts w:hint="eastAsia" w:ascii="黑体" w:hAnsi="黑体" w:eastAsia="黑体" w:cs="黑体"/>
          <w:b w:val="0"/>
          <w:bCs w:val="0"/>
          <w:kern w:val="2"/>
          <w:sz w:val="32"/>
          <w:szCs w:val="32"/>
          <w:lang w:val="en-US" w:eastAsia="zh-CN" w:bidi="ar-SA"/>
        </w:rPr>
      </w:pPr>
      <w:bookmarkStart w:id="126" w:name="_Toc6898"/>
      <w:r>
        <w:rPr>
          <w:rFonts w:hint="eastAsia" w:ascii="黑体" w:hAnsi="黑体" w:eastAsia="黑体" w:cs="黑体"/>
          <w:b w:val="0"/>
          <w:bCs w:val="0"/>
          <w:kern w:val="2"/>
          <w:sz w:val="32"/>
          <w:szCs w:val="32"/>
          <w:lang w:val="en-US" w:eastAsia="zh-CN" w:bidi="ar-SA"/>
        </w:rPr>
        <w:t>三、区域发展系列（八部）</w:t>
      </w:r>
      <w:bookmarkEnd w:id="126"/>
    </w:p>
    <w:p w14:paraId="3E4D7FD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《三亚经济圈高质量发展报告》</w:t>
      </w:r>
    </w:p>
    <w:p w14:paraId="6426DBB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《三亚海棠高质量发展报告》</w:t>
      </w:r>
    </w:p>
    <w:p w14:paraId="7F9A1F2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《三亚吉阳高质量发展报告》</w:t>
      </w:r>
    </w:p>
    <w:p w14:paraId="0799EBC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《三亚天涯高质量发展报告》</w:t>
      </w:r>
    </w:p>
    <w:p w14:paraId="5C2DAEF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《三亚崖州高质量发展报告》</w:t>
      </w:r>
    </w:p>
    <w:p w14:paraId="7FE125E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《三亚育才生态区高质量发展报告》</w:t>
      </w:r>
    </w:p>
    <w:p w14:paraId="00996E5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《三亚中央商务区高质量发展报告》</w:t>
      </w:r>
    </w:p>
    <w:p w14:paraId="2B4F929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《三亚崖州湾科技城高质量发展报告》</w:t>
      </w:r>
    </w:p>
    <w:p w14:paraId="5909B06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1"/>
        <w:rPr>
          <w:rFonts w:hint="eastAsia" w:ascii="黑体" w:hAnsi="黑体" w:eastAsia="黑体" w:cs="黑体"/>
          <w:b w:val="0"/>
          <w:bCs w:val="0"/>
          <w:kern w:val="2"/>
          <w:sz w:val="32"/>
          <w:szCs w:val="32"/>
          <w:lang w:val="en-US" w:eastAsia="zh-CN" w:bidi="ar-SA"/>
        </w:rPr>
      </w:pPr>
      <w:bookmarkStart w:id="127" w:name="_Toc5400"/>
      <w:r>
        <w:rPr>
          <w:rFonts w:hint="eastAsia" w:ascii="黑体" w:hAnsi="黑体" w:eastAsia="黑体" w:cs="黑体"/>
          <w:b w:val="0"/>
          <w:bCs w:val="0"/>
          <w:kern w:val="2"/>
          <w:sz w:val="32"/>
          <w:szCs w:val="32"/>
          <w:lang w:val="en-US" w:eastAsia="zh-CN" w:bidi="ar-SA"/>
        </w:rPr>
        <w:t>四、现代产业系列（四部+N部）</w:t>
      </w:r>
      <w:bookmarkEnd w:id="127"/>
    </w:p>
    <w:p w14:paraId="10FCC74C">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《三亚旅游业发展报告》</w:t>
      </w:r>
    </w:p>
    <w:p w14:paraId="7463D8FF">
      <w:pPr>
        <w:keepNext w:val="0"/>
        <w:keepLines w:val="0"/>
        <w:pageBreakBefore w:val="0"/>
        <w:widowControl w:val="0"/>
        <w:kinsoku/>
        <w:wordWrap/>
        <w:overflowPunct/>
        <w:topLinePunct w:val="0"/>
        <w:autoSpaceDE/>
        <w:autoSpaceDN/>
        <w:bidi w:val="0"/>
        <w:adjustRightInd/>
        <w:snapToGrid/>
        <w:spacing w:line="500" w:lineRule="exact"/>
        <w:ind w:firstLine="630" w:firstLineChars="300"/>
        <w:textAlignment w:val="auto"/>
        <w:rPr>
          <w:rFonts w:hint="eastAsia" w:ascii="仿宋_GB2312" w:hAnsi="仿宋_GB2312" w:eastAsia="仿宋_GB2312" w:cs="仿宋_GB2312"/>
          <w:b w:val="0"/>
          <w:bCs w:val="0"/>
          <w:kern w:val="2"/>
          <w:sz w:val="32"/>
          <w:szCs w:val="32"/>
          <w:lang w:val="en-US" w:eastAsia="zh-CN" w:bidi="ar-SA"/>
        </w:rPr>
      </w:pPr>
      <w:r>
        <w:rPr>
          <w:sz w:val="21"/>
        </w:rPr>
        <mc:AlternateContent>
          <mc:Choice Requires="wps">
            <w:drawing>
              <wp:anchor distT="0" distB="0" distL="114300" distR="114300" simplePos="0" relativeHeight="251691008" behindDoc="1" locked="0" layoutInCell="1" allowOverlap="1">
                <wp:simplePos x="0" y="0"/>
                <wp:positionH relativeFrom="column">
                  <wp:posOffset>-680085</wp:posOffset>
                </wp:positionH>
                <wp:positionV relativeFrom="paragraph">
                  <wp:posOffset>-671195</wp:posOffset>
                </wp:positionV>
                <wp:extent cx="107950" cy="433070"/>
                <wp:effectExtent l="0" t="0" r="6350" b="5080"/>
                <wp:wrapNone/>
                <wp:docPr id="45" name="矩形 11"/>
                <wp:cNvGraphicFramePr/>
                <a:graphic xmlns:a="http://schemas.openxmlformats.org/drawingml/2006/main">
                  <a:graphicData uri="http://schemas.microsoft.com/office/word/2010/wordprocessingShape">
                    <wps:wsp>
                      <wps:cNvSpPr/>
                      <wps:spPr>
                        <a:xfrm>
                          <a:off x="0" y="0"/>
                          <a:ext cx="107950" cy="433070"/>
                        </a:xfrm>
                        <a:prstGeom prst="rect">
                          <a:avLst/>
                        </a:prstGeom>
                        <a:solidFill>
                          <a:srgbClr val="4A6F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53.55pt;margin-top:-52.85pt;height:34.1pt;width:8.5pt;z-index:-251625472;v-text-anchor:middle;mso-width-relative:page;mso-height-relative:page;" fillcolor="#4A6FA5" filled="t" stroked="f" coordsize="21600,21600" o:gfxdata="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TjUBzZAAAADQEAAA8AAAAAAAAAAQAgAAAAIgAAAGRycy9kb3ducmV2LnhtbFBLAQIUABQA&#10;AAAIAIdO4kA99Bkw7wEAAMcDAAAOAAAAAAAAAAEAIAAAACgBAABkcnMvZTJvRG9jLnhtbFBLBQYA&#10;AAAABgAGAFkBAACJBQAAAAA=&#10;">
                <v:fill on="t" focussize="0,0"/>
                <v:stroke on="f" weight="1pt" miterlimit="8" joinstyle="miter"/>
                <v:imagedata o:title=""/>
                <o:lock v:ext="edit" aspectratio="f"/>
              </v:rect>
            </w:pict>
          </mc:Fallback>
        </mc:AlternateContent>
      </w:r>
      <w:r>
        <w:drawing>
          <wp:anchor distT="0" distB="0" distL="114300" distR="114300" simplePos="0" relativeHeight="251692032" behindDoc="0" locked="0" layoutInCell="1" allowOverlap="1">
            <wp:simplePos x="0" y="0"/>
            <wp:positionH relativeFrom="column">
              <wp:posOffset>4506595</wp:posOffset>
            </wp:positionH>
            <wp:positionV relativeFrom="paragraph">
              <wp:posOffset>-716280</wp:posOffset>
            </wp:positionV>
            <wp:extent cx="2265045" cy="522605"/>
            <wp:effectExtent l="0" t="0" r="1905" b="10795"/>
            <wp:wrapNone/>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8"/>
                    <a:srcRect l="4801" t="13319" r="6389" b="6624"/>
                    <a:stretch>
                      <a:fillRect/>
                    </a:stretch>
                  </pic:blipFill>
                  <pic:spPr>
                    <a:xfrm>
                      <a:off x="0" y="0"/>
                      <a:ext cx="2265045" cy="522605"/>
                    </a:xfrm>
                    <a:prstGeom prst="rect">
                      <a:avLst/>
                    </a:prstGeom>
                  </pic:spPr>
                </pic:pic>
              </a:graphicData>
            </a:graphic>
          </wp:anchor>
        </w:drawing>
      </w:r>
      <w:r>
        <w:rPr>
          <w:rFonts w:hint="eastAsia" w:ascii="仿宋_GB2312" w:hAnsi="仿宋_GB2312" w:eastAsia="仿宋_GB2312" w:cs="仿宋_GB2312"/>
          <w:b w:val="0"/>
          <w:bCs w:val="0"/>
          <w:kern w:val="2"/>
          <w:sz w:val="32"/>
          <w:szCs w:val="32"/>
          <w:lang w:val="en-US" w:eastAsia="zh-CN" w:bidi="ar-SA"/>
        </w:rPr>
        <w:t>《三亚现代服务业发展报告》</w:t>
      </w:r>
    </w:p>
    <w:p w14:paraId="7A76AB5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《三亚高新技术产业发展报告》</w:t>
      </w:r>
    </w:p>
    <w:p w14:paraId="07C8FFC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《三亚热带高效农业：接二连三发展模式报告》</w:t>
      </w:r>
    </w:p>
    <w:p w14:paraId="0B55CC8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《三亚智能制造业发展报告》</w:t>
      </w:r>
    </w:p>
    <w:p w14:paraId="45F2A23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《三亚种业发展报告》</w:t>
      </w:r>
    </w:p>
    <w:p w14:paraId="48D8A20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《三亚渔业发展报告》</w:t>
      </w:r>
    </w:p>
    <w:p w14:paraId="031B831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《三亚文化产业发展报告》</w:t>
      </w:r>
    </w:p>
    <w:p w14:paraId="38A9E42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《三亚数字产业发展报告》</w:t>
      </w:r>
    </w:p>
    <w:p w14:paraId="1467D17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《三亚现代金融业发展报告》</w:t>
      </w:r>
    </w:p>
    <w:p w14:paraId="585E810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《三亚会展业发展报告》</w:t>
      </w:r>
    </w:p>
    <w:p w14:paraId="68E3A2F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《三亚游艇游轮业发展报告》</w:t>
      </w:r>
    </w:p>
    <w:p w14:paraId="4516A46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1"/>
        <w:rPr>
          <w:rFonts w:hint="eastAsia" w:ascii="黑体" w:hAnsi="黑体" w:eastAsia="黑体" w:cs="黑体"/>
          <w:b w:val="0"/>
          <w:bCs w:val="0"/>
          <w:kern w:val="2"/>
          <w:sz w:val="32"/>
          <w:szCs w:val="32"/>
          <w:lang w:val="en-US" w:eastAsia="zh-CN" w:bidi="ar-SA"/>
        </w:rPr>
      </w:pPr>
      <w:bookmarkStart w:id="128" w:name="_Toc7285"/>
      <w:r>
        <w:rPr>
          <w:rFonts w:hint="eastAsia" w:ascii="黑体" w:hAnsi="黑体" w:eastAsia="黑体" w:cs="黑体"/>
          <w:b w:val="0"/>
          <w:bCs w:val="0"/>
          <w:kern w:val="2"/>
          <w:sz w:val="32"/>
          <w:szCs w:val="32"/>
          <w:lang w:val="en-US" w:eastAsia="zh-CN" w:bidi="ar-SA"/>
        </w:rPr>
        <w:t>五、新经济形态系列（十二部）</w:t>
      </w:r>
      <w:bookmarkEnd w:id="128"/>
    </w:p>
    <w:p w14:paraId="4F33C0AA">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《三亚智能经济发展报告》</w:t>
      </w:r>
    </w:p>
    <w:p w14:paraId="2308CB3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《三亚海洋经济发展报告》</w:t>
      </w:r>
    </w:p>
    <w:p w14:paraId="0C325AB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《三亚低空经济发展报告》</w:t>
      </w:r>
    </w:p>
    <w:p w14:paraId="791C7A8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《三亚科技经济发展报告》</w:t>
      </w:r>
    </w:p>
    <w:p w14:paraId="5FEE9D0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《三亚创意经济发展报告》</w:t>
      </w:r>
    </w:p>
    <w:p w14:paraId="7BCB748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《三亚数字经济发展报告》</w:t>
      </w:r>
    </w:p>
    <w:p w14:paraId="1549241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《三亚旅居经济发展报告》</w:t>
      </w:r>
    </w:p>
    <w:p w14:paraId="7E69A85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《三亚银龄经济发展报告》</w:t>
      </w:r>
    </w:p>
    <w:p w14:paraId="77AE650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《三亚会展经济发展报告》</w:t>
      </w:r>
    </w:p>
    <w:p w14:paraId="0C55C99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《三亚绿色经济发展报告》</w:t>
      </w:r>
    </w:p>
    <w:p w14:paraId="314ABD8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《三亚共享经济发展报告》</w:t>
      </w:r>
    </w:p>
    <w:p w14:paraId="3693A25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《三亚体验经济发展报告》</w:t>
      </w:r>
    </w:p>
    <w:p w14:paraId="367A1B2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1"/>
        <w:rPr>
          <w:rFonts w:hint="eastAsia" w:ascii="黑体" w:hAnsi="黑体" w:eastAsia="黑体" w:cs="黑体"/>
          <w:b w:val="0"/>
          <w:bCs w:val="0"/>
          <w:kern w:val="2"/>
          <w:sz w:val="32"/>
          <w:szCs w:val="32"/>
          <w:lang w:val="en-US" w:eastAsia="zh-CN" w:bidi="ar-SA"/>
        </w:rPr>
      </w:pPr>
      <w:bookmarkStart w:id="129" w:name="_Toc21794"/>
      <w:r>
        <w:rPr>
          <w:rFonts w:hint="eastAsia" w:ascii="黑体" w:hAnsi="黑体" w:eastAsia="黑体" w:cs="黑体"/>
          <w:b w:val="0"/>
          <w:bCs w:val="0"/>
          <w:kern w:val="2"/>
          <w:sz w:val="32"/>
          <w:szCs w:val="32"/>
          <w:lang w:val="en-US" w:eastAsia="zh-CN" w:bidi="ar-SA"/>
        </w:rPr>
        <w:t>六、集聚经济系列（六部）</w:t>
      </w:r>
      <w:bookmarkEnd w:id="129"/>
    </w:p>
    <w:p w14:paraId="12A4958D">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《三亚“金谷”建设报告》</w:t>
      </w:r>
    </w:p>
    <w:p w14:paraId="5A180F3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《三亚“慧谷”建设报告》</w:t>
      </w:r>
    </w:p>
    <w:p w14:paraId="157C509D">
      <w:pPr>
        <w:keepNext w:val="0"/>
        <w:keepLines w:val="0"/>
        <w:pageBreakBefore w:val="0"/>
        <w:widowControl w:val="0"/>
        <w:kinsoku/>
        <w:wordWrap/>
        <w:overflowPunct/>
        <w:topLinePunct w:val="0"/>
        <w:autoSpaceDE/>
        <w:autoSpaceDN/>
        <w:bidi w:val="0"/>
        <w:adjustRightInd/>
        <w:snapToGrid/>
        <w:spacing w:line="500" w:lineRule="exact"/>
        <w:ind w:firstLine="630" w:firstLineChars="300"/>
        <w:textAlignment w:val="auto"/>
        <w:rPr>
          <w:rFonts w:hint="eastAsia" w:ascii="仿宋_GB2312" w:hAnsi="仿宋_GB2312" w:eastAsia="仿宋_GB2312" w:cs="仿宋_GB2312"/>
          <w:b w:val="0"/>
          <w:bCs w:val="0"/>
          <w:kern w:val="2"/>
          <w:sz w:val="32"/>
          <w:szCs w:val="32"/>
          <w:lang w:val="en-US" w:eastAsia="zh-CN" w:bidi="ar-SA"/>
        </w:rPr>
      </w:pPr>
      <w:r>
        <w:rPr>
          <w:sz w:val="21"/>
        </w:rPr>
        <mc:AlternateContent>
          <mc:Choice Requires="wps">
            <w:drawing>
              <wp:anchor distT="0" distB="0" distL="114300" distR="114300" simplePos="0" relativeHeight="251693056" behindDoc="1" locked="0" layoutInCell="1" allowOverlap="1">
                <wp:simplePos x="0" y="0"/>
                <wp:positionH relativeFrom="column">
                  <wp:posOffset>-680085</wp:posOffset>
                </wp:positionH>
                <wp:positionV relativeFrom="paragraph">
                  <wp:posOffset>-671195</wp:posOffset>
                </wp:positionV>
                <wp:extent cx="107950" cy="433070"/>
                <wp:effectExtent l="0" t="0" r="6350" b="5080"/>
                <wp:wrapNone/>
                <wp:docPr id="47" name="矩形 11"/>
                <wp:cNvGraphicFramePr/>
                <a:graphic xmlns:a="http://schemas.openxmlformats.org/drawingml/2006/main">
                  <a:graphicData uri="http://schemas.microsoft.com/office/word/2010/wordprocessingShape">
                    <wps:wsp>
                      <wps:cNvSpPr/>
                      <wps:spPr>
                        <a:xfrm>
                          <a:off x="0" y="0"/>
                          <a:ext cx="107950" cy="433070"/>
                        </a:xfrm>
                        <a:prstGeom prst="rect">
                          <a:avLst/>
                        </a:prstGeom>
                        <a:solidFill>
                          <a:srgbClr val="4A6F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1" o:spid="_x0000_s1026" o:spt="1" style="position:absolute;left:0pt;margin-left:-53.55pt;margin-top:-52.85pt;height:34.1pt;width:8.5pt;z-index:-251623424;v-text-anchor:middle;mso-width-relative:page;mso-height-relative:page;" fillcolor="#4A6FA5" filled="t" stroked="f" coordsize="21600,21600" o:gfxdata="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TjUBzZAAAADQEAAA8AAAAAAAAAAQAgAAAAIgAAAGRycy9kb3ducmV2LnhtbFBLAQIUABQA&#10;AAAIAIdO4kCpAqhG7wEAAMcDAAAOAAAAAAAAAAEAIAAAACgBAABkcnMvZTJvRG9jLnhtbFBLBQYA&#10;AAAABgAGAFkBAACJBQAAAAA=&#10;">
                <v:fill on="t" focussize="0,0"/>
                <v:stroke on="f" weight="1pt" miterlimit="8" joinstyle="miter"/>
                <v:imagedata o:title=""/>
                <o:lock v:ext="edit" aspectratio="f"/>
              </v:rect>
            </w:pict>
          </mc:Fallback>
        </mc:AlternateContent>
      </w:r>
      <w:r>
        <w:drawing>
          <wp:anchor distT="0" distB="0" distL="114300" distR="114300" simplePos="0" relativeHeight="251694080" behindDoc="0" locked="0" layoutInCell="1" allowOverlap="1">
            <wp:simplePos x="0" y="0"/>
            <wp:positionH relativeFrom="column">
              <wp:posOffset>4506595</wp:posOffset>
            </wp:positionH>
            <wp:positionV relativeFrom="paragraph">
              <wp:posOffset>-716280</wp:posOffset>
            </wp:positionV>
            <wp:extent cx="2265045" cy="522605"/>
            <wp:effectExtent l="0" t="0" r="1905" b="10795"/>
            <wp:wrapNone/>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8"/>
                    <a:srcRect l="4801" t="13319" r="6389" b="6624"/>
                    <a:stretch>
                      <a:fillRect/>
                    </a:stretch>
                  </pic:blipFill>
                  <pic:spPr>
                    <a:xfrm>
                      <a:off x="0" y="0"/>
                      <a:ext cx="2265045" cy="522605"/>
                    </a:xfrm>
                    <a:prstGeom prst="rect">
                      <a:avLst/>
                    </a:prstGeom>
                  </pic:spPr>
                </pic:pic>
              </a:graphicData>
            </a:graphic>
          </wp:anchor>
        </w:drawing>
      </w:r>
      <w:r>
        <w:rPr>
          <w:rFonts w:hint="eastAsia" w:ascii="仿宋_GB2312" w:hAnsi="仿宋_GB2312" w:eastAsia="仿宋_GB2312" w:cs="仿宋_GB2312"/>
          <w:b w:val="0"/>
          <w:bCs w:val="0"/>
          <w:kern w:val="2"/>
          <w:sz w:val="32"/>
          <w:szCs w:val="32"/>
          <w:lang w:val="en-US" w:eastAsia="zh-CN" w:bidi="ar-SA"/>
        </w:rPr>
        <w:t>《三亚“绿谷”建设报告》</w:t>
      </w:r>
    </w:p>
    <w:p w14:paraId="1889256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《三亚“文谷”建设报告》</w:t>
      </w:r>
    </w:p>
    <w:p w14:paraId="382838C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《三亚“医谷”建设报告》</w:t>
      </w:r>
    </w:p>
    <w:p w14:paraId="446AB3B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《三亚“教谷”建设报告》</w:t>
      </w:r>
    </w:p>
    <w:p w14:paraId="62B883FE">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outlineLvl w:val="1"/>
        <w:rPr>
          <w:rFonts w:hint="eastAsia" w:ascii="黑体" w:hAnsi="黑体" w:eastAsia="黑体" w:cs="黑体"/>
          <w:b w:val="0"/>
          <w:bCs w:val="0"/>
          <w:kern w:val="2"/>
          <w:sz w:val="32"/>
          <w:szCs w:val="32"/>
          <w:lang w:val="en-US" w:eastAsia="zh-CN" w:bidi="ar-SA"/>
        </w:rPr>
      </w:pPr>
      <w:bookmarkStart w:id="130" w:name="_Toc28220"/>
      <w:r>
        <w:rPr>
          <w:rFonts w:hint="eastAsia" w:ascii="黑体" w:hAnsi="黑体" w:eastAsia="黑体" w:cs="黑体"/>
          <w:b w:val="0"/>
          <w:bCs w:val="0"/>
          <w:kern w:val="2"/>
          <w:sz w:val="32"/>
          <w:szCs w:val="32"/>
          <w:lang w:val="en-US" w:eastAsia="zh-CN" w:bidi="ar-SA"/>
        </w:rPr>
        <w:t>七、民生系列（十二部）</w:t>
      </w:r>
      <w:bookmarkEnd w:id="130"/>
    </w:p>
    <w:p w14:paraId="717E09A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《三亚教育体系建设报告》</w:t>
      </w:r>
    </w:p>
    <w:p w14:paraId="006AF3F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《三亚健康城市建设报告》</w:t>
      </w:r>
    </w:p>
    <w:p w14:paraId="3FE3D25F">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《三亚银龄友好城市建设报告》</w:t>
      </w:r>
    </w:p>
    <w:p w14:paraId="7A9E8568">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《三亚交通出行体系建设报告》</w:t>
      </w:r>
    </w:p>
    <w:p w14:paraId="31EF291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《三亚平安城市建设报告》</w:t>
      </w:r>
    </w:p>
    <w:p w14:paraId="78EE797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《三亚体育强市</w:t>
      </w:r>
      <w:r>
        <w:rPr>
          <w:rFonts w:hint="eastAsia" w:ascii="仿宋_GB2312" w:hAnsi="仿宋_GB2312" w:eastAsia="仿宋_GB2312" w:cs="仿宋_GB2312"/>
          <w:b w:val="0"/>
          <w:bCs w:val="0"/>
          <w:kern w:val="2"/>
          <w:sz w:val="32"/>
          <w:szCs w:val="32"/>
          <w:lang w:val="en-US" w:eastAsia="zh-CN" w:bidi="ar-SA"/>
        </w:rPr>
        <w:t>建设</w:t>
      </w:r>
      <w:r>
        <w:rPr>
          <w:rFonts w:hint="default" w:ascii="仿宋_GB2312" w:hAnsi="仿宋_GB2312" w:eastAsia="仿宋_GB2312" w:cs="仿宋_GB2312"/>
          <w:b w:val="0"/>
          <w:bCs w:val="0"/>
          <w:kern w:val="2"/>
          <w:sz w:val="32"/>
          <w:szCs w:val="32"/>
          <w:lang w:val="en-US" w:eastAsia="zh-CN" w:bidi="ar-SA"/>
        </w:rPr>
        <w:t>报告》</w:t>
      </w:r>
    </w:p>
    <w:p w14:paraId="04C35D23">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《三亚公共文化服务</w:t>
      </w:r>
      <w:r>
        <w:rPr>
          <w:rFonts w:hint="eastAsia" w:ascii="仿宋_GB2312" w:hAnsi="仿宋_GB2312" w:eastAsia="仿宋_GB2312" w:cs="仿宋_GB2312"/>
          <w:b w:val="0"/>
          <w:bCs w:val="0"/>
          <w:kern w:val="2"/>
          <w:sz w:val="32"/>
          <w:szCs w:val="32"/>
          <w:lang w:val="en-US" w:eastAsia="zh-CN" w:bidi="ar-SA"/>
        </w:rPr>
        <w:t>体系建设</w:t>
      </w:r>
      <w:r>
        <w:rPr>
          <w:rFonts w:hint="default" w:ascii="仿宋_GB2312" w:hAnsi="仿宋_GB2312" w:eastAsia="仿宋_GB2312" w:cs="仿宋_GB2312"/>
          <w:b w:val="0"/>
          <w:bCs w:val="0"/>
          <w:kern w:val="2"/>
          <w:sz w:val="32"/>
          <w:szCs w:val="32"/>
          <w:lang w:val="en-US" w:eastAsia="zh-CN" w:bidi="ar-SA"/>
        </w:rPr>
        <w:t>报告》</w:t>
      </w:r>
    </w:p>
    <w:p w14:paraId="658A758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《三亚社会保障体系建设报告》</w:t>
      </w:r>
    </w:p>
    <w:p w14:paraId="14CF262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《三亚就业与人才服务发展报告》</w:t>
      </w:r>
    </w:p>
    <w:p w14:paraId="47BBE49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《三亚应急管理与城市韧性</w:t>
      </w:r>
      <w:r>
        <w:rPr>
          <w:rFonts w:hint="eastAsia" w:ascii="仿宋_GB2312" w:hAnsi="仿宋_GB2312" w:eastAsia="仿宋_GB2312" w:cs="仿宋_GB2312"/>
          <w:b w:val="0"/>
          <w:bCs w:val="0"/>
          <w:kern w:val="2"/>
          <w:sz w:val="32"/>
          <w:szCs w:val="32"/>
          <w:lang w:val="en-US" w:eastAsia="zh-CN" w:bidi="ar-SA"/>
        </w:rPr>
        <w:t>建设</w:t>
      </w:r>
      <w:r>
        <w:rPr>
          <w:rFonts w:hint="default" w:ascii="仿宋_GB2312" w:hAnsi="仿宋_GB2312" w:eastAsia="仿宋_GB2312" w:cs="仿宋_GB2312"/>
          <w:b w:val="0"/>
          <w:bCs w:val="0"/>
          <w:kern w:val="2"/>
          <w:sz w:val="32"/>
          <w:szCs w:val="32"/>
          <w:lang w:val="en-US" w:eastAsia="zh-CN" w:bidi="ar-SA"/>
        </w:rPr>
        <w:t>报告》</w:t>
      </w:r>
    </w:p>
    <w:p w14:paraId="63F72B62">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《三亚基层治理现代化</w:t>
      </w:r>
      <w:r>
        <w:rPr>
          <w:rFonts w:hint="eastAsia" w:ascii="仿宋_GB2312" w:hAnsi="仿宋_GB2312" w:eastAsia="仿宋_GB2312" w:cs="仿宋_GB2312"/>
          <w:b w:val="0"/>
          <w:bCs w:val="0"/>
          <w:kern w:val="2"/>
          <w:sz w:val="32"/>
          <w:szCs w:val="32"/>
          <w:lang w:val="en-US" w:eastAsia="zh-CN" w:bidi="ar-SA"/>
        </w:rPr>
        <w:t>建设</w:t>
      </w:r>
      <w:r>
        <w:rPr>
          <w:rFonts w:hint="default" w:ascii="仿宋_GB2312" w:hAnsi="仿宋_GB2312" w:eastAsia="仿宋_GB2312" w:cs="仿宋_GB2312"/>
          <w:b w:val="0"/>
          <w:bCs w:val="0"/>
          <w:kern w:val="2"/>
          <w:sz w:val="32"/>
          <w:szCs w:val="32"/>
          <w:lang w:val="en-US" w:eastAsia="zh-CN" w:bidi="ar-SA"/>
        </w:rPr>
        <w:t>报告》</w:t>
      </w:r>
    </w:p>
    <w:p w14:paraId="429B16B0">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《三亚营商环境优化建设报告》</w:t>
      </w:r>
    </w:p>
    <w:p w14:paraId="322AA64C">
      <w:pPr>
        <w:sectPr>
          <w:footerReference r:id="rId6" w:type="default"/>
          <w:pgSz w:w="11906" w:h="16838"/>
          <w:pgMar w:top="1440" w:right="1080" w:bottom="1440" w:left="1080" w:header="851" w:footer="992" w:gutter="0"/>
          <w:pgNumType w:fmt="numberInDash"/>
          <w:cols w:space="425" w:num="1"/>
          <w:docGrid w:type="lines" w:linePitch="312" w:charSpace="0"/>
        </w:sectPr>
      </w:pPr>
    </w:p>
    <w:p w14:paraId="0CFB78BB">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p>
    <w:p w14:paraId="3EA3D043">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p>
    <w:p w14:paraId="4E970F74">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p>
    <w:p w14:paraId="4F287875">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p>
    <w:p w14:paraId="10FB9014">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p>
    <w:p w14:paraId="3A80B5C6">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p>
    <w:p w14:paraId="0D3E1191">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p>
    <w:p w14:paraId="4B13783E">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bCs/>
          <w:sz w:val="44"/>
          <w:szCs w:val="44"/>
          <w:lang w:val="en-US" w:eastAsia="zh-CN"/>
        </w:rPr>
      </w:pPr>
    </w:p>
    <w:p w14:paraId="5D2C446C">
      <w:pPr>
        <w:keepNext w:val="0"/>
        <w:keepLines w:val="0"/>
        <w:pageBreakBefore w:val="0"/>
        <w:widowControl w:val="0"/>
        <w:kinsoku/>
        <w:wordWrap/>
        <w:overflowPunct/>
        <w:topLinePunct w:val="0"/>
        <w:autoSpaceDE/>
        <w:autoSpaceDN/>
        <w:bidi w:val="0"/>
        <w:adjustRightInd/>
        <w:snapToGrid/>
        <w:spacing w:line="578" w:lineRule="exact"/>
        <w:ind w:left="0" w:leftChars="0"/>
        <w:jc w:val="center"/>
        <w:textAlignment w:val="auto"/>
        <w:rPr>
          <w:rFonts w:hint="eastAsia" w:ascii="方正小标宋简体" w:hAnsi="方正小标宋简体" w:eastAsia="方正小标宋简体" w:cs="方正小标宋简体"/>
          <w:b/>
          <w:bCs/>
          <w:sz w:val="44"/>
          <w:szCs w:val="44"/>
          <w:lang w:val="en-US" w:eastAsia="zh-CN"/>
        </w:rPr>
      </w:pPr>
    </w:p>
    <w:p w14:paraId="269D98F7">
      <w:pPr>
        <w:keepNext w:val="0"/>
        <w:keepLines w:val="0"/>
        <w:pageBreakBefore w:val="0"/>
        <w:widowControl w:val="0"/>
        <w:kinsoku/>
        <w:wordWrap/>
        <w:overflowPunct/>
        <w:topLinePunct w:val="0"/>
        <w:autoSpaceDE/>
        <w:autoSpaceDN/>
        <w:bidi w:val="0"/>
        <w:adjustRightInd/>
        <w:snapToGrid/>
        <w:spacing w:line="578" w:lineRule="exact"/>
        <w:ind w:left="0" w:leftChars="0"/>
        <w:jc w:val="center"/>
        <w:textAlignment w:val="auto"/>
        <w:outlineLvl w:val="0"/>
        <w:rPr>
          <w:rFonts w:hint="eastAsia" w:ascii="仿宋_GB2312" w:hAnsi="仿宋_GB2312" w:eastAsia="仿宋_GB2312" w:cs="仿宋_GB2312"/>
          <w:b w:val="0"/>
          <w:bCs w:val="0"/>
          <w:kern w:val="2"/>
          <w:sz w:val="32"/>
          <w:szCs w:val="32"/>
          <w:lang w:val="en-US" w:eastAsia="zh-CN" w:bidi="ar-SA"/>
        </w:rPr>
      </w:pPr>
      <w:bookmarkStart w:id="131" w:name="_Toc2877"/>
      <w:r>
        <w:rPr>
          <w:rFonts w:hint="eastAsia" w:ascii="方正小标宋简体" w:hAnsi="方正小标宋简体" w:eastAsia="方正小标宋简体" w:cs="方正小标宋简体"/>
          <w:b/>
          <w:bCs/>
          <w:sz w:val="44"/>
          <w:szCs w:val="44"/>
          <w:lang w:val="en-US" w:eastAsia="zh-CN"/>
        </w:rPr>
        <w:t>三亚高质量发展系列报告</w:t>
      </w:r>
      <w:bookmarkEnd w:id="131"/>
    </w:p>
    <w:p w14:paraId="0587A255">
      <w:pPr>
        <w:keepNext w:val="0"/>
        <w:keepLines w:val="0"/>
        <w:pageBreakBefore w:val="0"/>
        <w:widowControl w:val="0"/>
        <w:kinsoku/>
        <w:wordWrap/>
        <w:overflowPunct/>
        <w:topLinePunct w:val="0"/>
        <w:autoSpaceDE/>
        <w:autoSpaceDN/>
        <w:bidi w:val="0"/>
        <w:adjustRightInd/>
        <w:snapToGrid/>
        <w:spacing w:line="500" w:lineRule="exact"/>
        <w:ind w:left="0" w:leftChars="0" w:firstLine="723" w:firstLineChars="200"/>
        <w:jc w:val="center"/>
        <w:textAlignment w:val="auto"/>
        <w:outlineLvl w:val="0"/>
        <w:rPr>
          <w:rFonts w:hint="eastAsia" w:ascii="黑体" w:hAnsi="黑体" w:eastAsia="黑体" w:cs="黑体"/>
          <w:b/>
          <w:bCs/>
          <w:kern w:val="2"/>
          <w:sz w:val="36"/>
          <w:szCs w:val="36"/>
          <w:lang w:val="en-US" w:eastAsia="zh-CN" w:bidi="ar-SA"/>
        </w:rPr>
      </w:pPr>
      <w:bookmarkStart w:id="132" w:name="_Toc9790"/>
      <w:r>
        <w:rPr>
          <w:rFonts w:hint="eastAsia" w:ascii="黑体" w:hAnsi="黑体" w:eastAsia="黑体" w:cs="黑体"/>
          <w:b/>
          <w:bCs/>
          <w:kern w:val="2"/>
          <w:sz w:val="36"/>
          <w:szCs w:val="36"/>
          <w:lang w:val="en-US" w:eastAsia="zh-CN" w:bidi="ar-SA"/>
        </w:rPr>
        <w:t>区域发展系列（八部）</w:t>
      </w:r>
      <w:bookmarkEnd w:id="132"/>
    </w:p>
    <w:p w14:paraId="0DA60DD3">
      <w:pPr>
        <w:keepNext w:val="0"/>
        <w:keepLines w:val="0"/>
        <w:pageBreakBefore w:val="0"/>
        <w:widowControl w:val="0"/>
        <w:kinsoku/>
        <w:wordWrap/>
        <w:overflowPunct/>
        <w:topLinePunct w:val="0"/>
        <w:autoSpaceDE/>
        <w:autoSpaceDN/>
        <w:bidi w:val="0"/>
        <w:adjustRightInd/>
        <w:snapToGrid/>
        <w:spacing w:line="500" w:lineRule="exact"/>
        <w:ind w:left="0" w:leftChars="0" w:firstLine="723" w:firstLineChars="200"/>
        <w:jc w:val="center"/>
        <w:textAlignment w:val="auto"/>
        <w:rPr>
          <w:rFonts w:hint="eastAsia" w:ascii="黑体" w:hAnsi="黑体" w:eastAsia="黑体" w:cs="黑体"/>
          <w:b/>
          <w:bCs/>
          <w:kern w:val="2"/>
          <w:sz w:val="36"/>
          <w:szCs w:val="36"/>
          <w:lang w:val="en-US" w:eastAsia="zh-CN" w:bidi="ar-SA"/>
        </w:rPr>
      </w:pPr>
    </w:p>
    <w:p w14:paraId="2435257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《三亚经济圈高质量发展报告》</w:t>
      </w:r>
    </w:p>
    <w:p w14:paraId="5762196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《三亚海棠高质量发展报告》</w:t>
      </w:r>
    </w:p>
    <w:p w14:paraId="46C995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《三亚吉阳高质量发展报告》</w:t>
      </w:r>
    </w:p>
    <w:p w14:paraId="260A67D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《三亚天涯高质量发展报告》</w:t>
      </w:r>
    </w:p>
    <w:p w14:paraId="65073E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《三亚崖州高质量发展报告》</w:t>
      </w:r>
    </w:p>
    <w:p w14:paraId="26B4C6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《三亚育才生态区高质量发展报告》</w:t>
      </w:r>
    </w:p>
    <w:p w14:paraId="282F5D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《三亚中央商务区高质量发展报告》</w:t>
      </w:r>
    </w:p>
    <w:p w14:paraId="170330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《三亚崖州湾科技城高质量发展报告》</w:t>
      </w:r>
    </w:p>
    <w:p w14:paraId="5EB320E9">
      <w:pPr>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jc w:val="center"/>
        <w:textAlignment w:val="auto"/>
      </w:pPr>
      <w:r>
        <w:rPr>
          <w:sz w:val="21"/>
        </w:rPr>
        <mc:AlternateContent>
          <mc:Choice Requires="wps">
            <w:drawing>
              <wp:anchor distT="0" distB="0" distL="114300" distR="114300" simplePos="0" relativeHeight="251679744" behindDoc="0" locked="0" layoutInCell="1" allowOverlap="1">
                <wp:simplePos x="0" y="0"/>
                <wp:positionH relativeFrom="column">
                  <wp:posOffset>2329815</wp:posOffset>
                </wp:positionH>
                <wp:positionV relativeFrom="page">
                  <wp:posOffset>7802245</wp:posOffset>
                </wp:positionV>
                <wp:extent cx="635" cy="1334135"/>
                <wp:effectExtent l="4445" t="0" r="13970" b="18415"/>
                <wp:wrapNone/>
                <wp:docPr id="24" name="直接连接符 16"/>
                <wp:cNvGraphicFramePr/>
                <a:graphic xmlns:a="http://schemas.openxmlformats.org/drawingml/2006/main">
                  <a:graphicData uri="http://schemas.microsoft.com/office/word/2010/wordprocessingShape">
                    <wps:wsp>
                      <wps:cNvCnPr/>
                      <wps:spPr>
                        <a:xfrm flipV="1">
                          <a:off x="0" y="0"/>
                          <a:ext cx="635" cy="1334135"/>
                        </a:xfrm>
                        <a:prstGeom prst="line">
                          <a:avLst/>
                        </a:prstGeom>
                        <a:ln>
                          <a:gradFill>
                            <a:gsLst>
                              <a:gs pos="0">
                                <a:srgbClr val="BCE7F7">
                                  <a:alpha val="0"/>
                                </a:srgbClr>
                              </a:gs>
                              <a:gs pos="52000">
                                <a:srgbClr val="87A7B8"/>
                              </a:gs>
                              <a:gs pos="100000">
                                <a:schemeClr val="accent1">
                                  <a:lumMod val="30000"/>
                                  <a:lumOff val="70000"/>
                                  <a:alpha val="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6" o:spid="_x0000_s1026" o:spt="20" style="position:absolute;left:0pt;flip:y;margin-left:183.45pt;margin-top:614.35pt;height:105.05pt;width:0.05pt;mso-position-vertical-relative:page;z-index:251679744;mso-width-relative:page;mso-height-relative:page;" filled="f" stroked="t" coordsize="21600,21600" o:gfxdata="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9IBD9&#10;2gAAAA0BAAAPAAAAAAAAAAEAIAAAACIAAABkcnMvZG93bnJldi54bWxQSwECFAAUAAAACACHTuJA&#10;Ftw7jlgCAADTBAAADgAAAAAAAAABACAAAAApAQAAZHJzL2Uyb0RvYy54bWxQSwUGAAAAAAYABgBZ&#10;AQAA8wUAAAAA&#10;">
                <v:fill on="f" focussize="0,0"/>
                <v:stroke weight="0.5pt" color="#000000" miterlimit="8" joinstyle="miter"/>
                <v:imagedata o:title=""/>
                <o:lock v:ext="edit" aspectratio="f"/>
              </v:line>
            </w:pict>
          </mc:Fallback>
        </mc:AlternateContent>
      </w:r>
      <w:r>
        <w:drawing>
          <wp:anchor distT="0" distB="0" distL="114300" distR="114300" simplePos="0" relativeHeight="251695104" behindDoc="0" locked="0" layoutInCell="1" allowOverlap="1">
            <wp:simplePos x="0" y="0"/>
            <wp:positionH relativeFrom="column">
              <wp:posOffset>5398135</wp:posOffset>
            </wp:positionH>
            <wp:positionV relativeFrom="page">
              <wp:posOffset>7625715</wp:posOffset>
            </wp:positionV>
            <wp:extent cx="1273175" cy="1273175"/>
            <wp:effectExtent l="0" t="0" r="3175" b="3175"/>
            <wp:wrapNone/>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11"/>
                    <a:stretch>
                      <a:fillRect/>
                    </a:stretch>
                  </pic:blipFill>
                  <pic:spPr>
                    <a:xfrm>
                      <a:off x="0" y="0"/>
                      <a:ext cx="1273175" cy="1273175"/>
                    </a:xfrm>
                    <a:prstGeom prst="rect">
                      <a:avLst/>
                    </a:prstGeom>
                    <a:noFill/>
                    <a:ln>
                      <a:noFill/>
                    </a:ln>
                  </pic:spPr>
                </pic:pic>
              </a:graphicData>
            </a:graphic>
          </wp:anchor>
        </w:drawing>
      </w:r>
      <w:r>
        <w:rPr>
          <w:sz w:val="21"/>
        </w:rPr>
        <mc:AlternateContent>
          <mc:Choice Requires="wps">
            <w:drawing>
              <wp:anchor distT="0" distB="0" distL="114300" distR="114300" simplePos="0" relativeHeight="251675648" behindDoc="0" locked="0" layoutInCell="1" allowOverlap="1">
                <wp:simplePos x="0" y="0"/>
                <wp:positionH relativeFrom="column">
                  <wp:posOffset>1134110</wp:posOffset>
                </wp:positionH>
                <wp:positionV relativeFrom="page">
                  <wp:posOffset>7628255</wp:posOffset>
                </wp:positionV>
                <wp:extent cx="5485130" cy="1662430"/>
                <wp:effectExtent l="0" t="0" r="0" b="0"/>
                <wp:wrapNone/>
                <wp:docPr id="15" name="文本框 34"/>
                <wp:cNvGraphicFramePr/>
                <a:graphic xmlns:a="http://schemas.openxmlformats.org/drawingml/2006/main">
                  <a:graphicData uri="http://schemas.microsoft.com/office/word/2010/wordprocessingShape">
                    <wps:wsp>
                      <wps:cNvSpPr txBox="1"/>
                      <wps:spPr>
                        <a:xfrm>
                          <a:off x="0" y="0"/>
                          <a:ext cx="5485130" cy="1662430"/>
                        </a:xfrm>
                        <a:prstGeom prst="rect">
                          <a:avLst/>
                        </a:prstGeom>
                        <a:noFill/>
                      </wps:spPr>
                      <wps:txbx>
                        <w:txbxContent>
                          <w:p w14:paraId="55F3FF01">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hint="eastAsia" w:ascii="黑体" w:hAnsi="黑体" w:eastAsia="黑体" w:cs="黑体"/>
                                <w:sz w:val="32"/>
                                <w:szCs w:val="40"/>
                              </w:rPr>
                            </w:pPr>
                            <w:r>
                              <w:rPr>
                                <w:rFonts w:hint="eastAsia" w:ascii="黑体" w:hAnsi="黑体" w:eastAsia="黑体" w:cs="黑体"/>
                                <w:b/>
                                <w:bCs/>
                                <w:color w:val="000000"/>
                                <w:kern w:val="0"/>
                                <w:sz w:val="28"/>
                                <w:szCs w:val="28"/>
                                <w:lang w:val="en-US" w:eastAsia="zh-CN" w:bidi="ar"/>
                              </w:rPr>
                              <w:t xml:space="preserve">联系电话： </w:t>
                            </w:r>
                            <w:r>
                              <w:rPr>
                                <w:rFonts w:hint="eastAsia" w:ascii="黑体" w:hAnsi="黑体" w:eastAsia="黑体" w:cs="黑体"/>
                                <w:color w:val="000000"/>
                                <w:kern w:val="0"/>
                                <w:sz w:val="28"/>
                                <w:szCs w:val="28"/>
                                <w:lang w:val="en-US" w:eastAsia="zh-CN" w:bidi="ar"/>
                              </w:rPr>
                              <w:t xml:space="preserve">   0898-88353417 </w:t>
                            </w:r>
                          </w:p>
                          <w:p w14:paraId="5CB292D3">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hint="eastAsia" w:ascii="黑体" w:hAnsi="黑体" w:eastAsia="黑体" w:cs="黑体"/>
                                <w:sz w:val="32"/>
                                <w:szCs w:val="40"/>
                              </w:rPr>
                            </w:pPr>
                            <w:r>
                              <w:rPr>
                                <w:rFonts w:hint="eastAsia" w:ascii="黑体" w:hAnsi="黑体" w:eastAsia="黑体" w:cs="黑体"/>
                                <w:b/>
                                <w:bCs/>
                                <w:color w:val="000000"/>
                                <w:kern w:val="0"/>
                                <w:sz w:val="28"/>
                                <w:szCs w:val="28"/>
                                <w:lang w:val="en-US" w:eastAsia="zh-CN" w:bidi="ar"/>
                              </w:rPr>
                              <w:t xml:space="preserve">邮箱： </w:t>
                            </w:r>
                            <w:r>
                              <w:rPr>
                                <w:rFonts w:hint="eastAsia" w:ascii="黑体" w:hAnsi="黑体" w:eastAsia="黑体" w:cs="黑体"/>
                                <w:color w:val="000000"/>
                                <w:kern w:val="0"/>
                                <w:sz w:val="28"/>
                                <w:szCs w:val="28"/>
                                <w:lang w:val="en-US" w:eastAsia="zh-CN" w:bidi="ar"/>
                              </w:rPr>
                              <w:t xml:space="preserve">       yjy@sy-seri.org.cn </w:t>
                            </w:r>
                          </w:p>
                          <w:p w14:paraId="701F74FE">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hint="eastAsia" w:ascii="黑体" w:hAnsi="黑体" w:eastAsia="黑体" w:cs="黑体"/>
                                <w:color w:val="000000"/>
                                <w:kern w:val="0"/>
                                <w:sz w:val="28"/>
                                <w:szCs w:val="28"/>
                                <w:lang w:val="en-US" w:eastAsia="zh-CN" w:bidi="ar"/>
                              </w:rPr>
                            </w:pPr>
                            <w:r>
                              <w:rPr>
                                <w:rFonts w:hint="eastAsia" w:ascii="黑体" w:hAnsi="黑体" w:eastAsia="黑体" w:cs="黑体"/>
                                <w:b/>
                                <w:bCs/>
                                <w:color w:val="000000"/>
                                <w:kern w:val="0"/>
                                <w:sz w:val="28"/>
                                <w:szCs w:val="28"/>
                                <w:lang w:val="en-US" w:eastAsia="zh-CN" w:bidi="ar"/>
                              </w:rPr>
                              <w:t>网站地址：</w:t>
                            </w:r>
                            <w:r>
                              <w:rPr>
                                <w:rFonts w:hint="eastAsia" w:ascii="黑体" w:hAnsi="黑体" w:eastAsia="黑体" w:cs="黑体"/>
                                <w:color w:val="000000"/>
                                <w:kern w:val="0"/>
                                <w:sz w:val="28"/>
                                <w:szCs w:val="28"/>
                                <w:lang w:val="en-US" w:eastAsia="zh-CN" w:bidi="ar"/>
                              </w:rPr>
                              <w:t xml:space="preserve">    https://www.sanyaed.org.cn/</w:t>
                            </w:r>
                          </w:p>
                          <w:p w14:paraId="40BB004A">
                            <w:pPr>
                              <w:keepNext w:val="0"/>
                              <w:keepLines w:val="0"/>
                              <w:pageBreakBefore w:val="0"/>
                              <w:widowControl/>
                              <w:suppressLineNumbers w:val="0"/>
                              <w:kinsoku/>
                              <w:wordWrap/>
                              <w:overflowPunct/>
                              <w:topLinePunct w:val="0"/>
                              <w:bidi w:val="0"/>
                              <w:adjustRightInd/>
                              <w:snapToGrid/>
                              <w:spacing w:line="360" w:lineRule="auto"/>
                              <w:ind w:left="1960" w:hanging="1968" w:hangingChars="700"/>
                              <w:jc w:val="left"/>
                              <w:textAlignment w:val="auto"/>
                              <w:rPr>
                                <w:rFonts w:hint="eastAsia" w:ascii="黑体" w:hAnsi="黑体" w:eastAsia="黑体" w:cs="黑体"/>
                                <w:sz w:val="32"/>
                                <w:szCs w:val="40"/>
                              </w:rPr>
                            </w:pPr>
                            <w:r>
                              <w:rPr>
                                <w:rFonts w:hint="eastAsia" w:ascii="黑体" w:hAnsi="黑体" w:eastAsia="黑体" w:cs="黑体"/>
                                <w:b/>
                                <w:bCs/>
                                <w:color w:val="000000"/>
                                <w:kern w:val="0"/>
                                <w:sz w:val="28"/>
                                <w:szCs w:val="28"/>
                                <w:lang w:val="en-US" w:eastAsia="zh-CN" w:bidi="ar"/>
                              </w:rPr>
                              <w:t>办公地址：</w:t>
                            </w:r>
                            <w:r>
                              <w:rPr>
                                <w:rFonts w:hint="eastAsia" w:ascii="黑体" w:hAnsi="黑体" w:eastAsia="黑体" w:cs="黑体"/>
                                <w:color w:val="000000"/>
                                <w:kern w:val="0"/>
                                <w:sz w:val="28"/>
                                <w:szCs w:val="28"/>
                                <w:lang w:val="en-US" w:eastAsia="zh-CN" w:bidi="ar"/>
                              </w:rPr>
                              <w:t xml:space="preserve">    海南省三亚市吉阳区迎宾路阳光金融广场 19 楼 </w:t>
                            </w:r>
                          </w:p>
                          <w:p w14:paraId="4C81DBCD">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hint="eastAsia" w:ascii="黑体" w:hAnsi="黑体" w:eastAsia="黑体" w:cs="黑体"/>
                                <w:color w:val="000000"/>
                                <w:kern w:val="0"/>
                                <w:sz w:val="28"/>
                                <w:szCs w:val="28"/>
                                <w:lang w:val="en-US" w:eastAsia="zh-CN" w:bidi="ar"/>
                              </w:rPr>
                            </w:pPr>
                          </w:p>
                          <w:p w14:paraId="60246408">
                            <w:pPr>
                              <w:keepNext w:val="0"/>
                              <w:keepLines w:val="0"/>
                              <w:pageBreakBefore w:val="0"/>
                              <w:kinsoku/>
                              <w:wordWrap/>
                              <w:overflowPunct/>
                              <w:topLinePunct w:val="0"/>
                              <w:bidi w:val="0"/>
                              <w:adjustRightInd/>
                              <w:snapToGrid/>
                              <w:spacing w:line="360" w:lineRule="auto"/>
                              <w:textAlignment w:val="auto"/>
                              <w:rPr>
                                <w:rFonts w:hint="eastAsia" w:ascii="黑体" w:hAnsi="黑体" w:eastAsia="黑体" w:cs="黑体"/>
                              </w:rPr>
                            </w:pPr>
                          </w:p>
                        </w:txbxContent>
                      </wps:txbx>
                      <wps:bodyPr wrap="square" rtlCol="0" anchor="t">
                        <a:noAutofit/>
                      </wps:bodyPr>
                    </wps:wsp>
                  </a:graphicData>
                </a:graphic>
              </wp:anchor>
            </w:drawing>
          </mc:Choice>
          <mc:Fallback>
            <w:pict>
              <v:shape id="文本框 34" o:spid="_x0000_s1026" o:spt="202" type="#_x0000_t202" style="position:absolute;left:0pt;margin-left:89.3pt;margin-top:600.65pt;height:130.9pt;width:431.9pt;mso-position-vertical-relative:page;z-index:251675648;mso-width-relative:page;mso-height-relative:page;" filled="f" stroked="f" coordsize="21600,21600" o:gfxdata="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B4rsNkAAAAOAQAADwAAAAAAAAABACAAAAAiAAAAZHJzL2Rvd25yZXYu&#10;eG1sUEsBAhQAFAAAAAgAh07iQFMwQbPBAQAAawMAAA4AAAAAAAAAAQAgAAAAKAEAAGRycy9lMm9E&#10;b2MueG1sUEsFBgAAAAAGAAYAWQEAAFsFAAAAAA==&#10;">
                <v:fill on="f" focussize="0,0"/>
                <v:stroke on="f"/>
                <v:imagedata o:title=""/>
                <o:lock v:ext="edit" aspectratio="f"/>
                <v:textbox>
                  <w:txbxContent>
                    <w:p w14:paraId="55F3FF01">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hint="eastAsia" w:ascii="黑体" w:hAnsi="黑体" w:eastAsia="黑体" w:cs="黑体"/>
                          <w:sz w:val="32"/>
                          <w:szCs w:val="40"/>
                        </w:rPr>
                      </w:pPr>
                      <w:r>
                        <w:rPr>
                          <w:rFonts w:hint="eastAsia" w:ascii="黑体" w:hAnsi="黑体" w:eastAsia="黑体" w:cs="黑体"/>
                          <w:b/>
                          <w:bCs/>
                          <w:color w:val="000000"/>
                          <w:kern w:val="0"/>
                          <w:sz w:val="28"/>
                          <w:szCs w:val="28"/>
                          <w:lang w:val="en-US" w:eastAsia="zh-CN" w:bidi="ar"/>
                        </w:rPr>
                        <w:t xml:space="preserve">联系电话： </w:t>
                      </w:r>
                      <w:r>
                        <w:rPr>
                          <w:rFonts w:hint="eastAsia" w:ascii="黑体" w:hAnsi="黑体" w:eastAsia="黑体" w:cs="黑体"/>
                          <w:color w:val="000000"/>
                          <w:kern w:val="0"/>
                          <w:sz w:val="28"/>
                          <w:szCs w:val="28"/>
                          <w:lang w:val="en-US" w:eastAsia="zh-CN" w:bidi="ar"/>
                        </w:rPr>
                        <w:t xml:space="preserve">   0898-88353417 </w:t>
                      </w:r>
                    </w:p>
                    <w:p w14:paraId="5CB292D3">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hint="eastAsia" w:ascii="黑体" w:hAnsi="黑体" w:eastAsia="黑体" w:cs="黑体"/>
                          <w:sz w:val="32"/>
                          <w:szCs w:val="40"/>
                        </w:rPr>
                      </w:pPr>
                      <w:r>
                        <w:rPr>
                          <w:rFonts w:hint="eastAsia" w:ascii="黑体" w:hAnsi="黑体" w:eastAsia="黑体" w:cs="黑体"/>
                          <w:b/>
                          <w:bCs/>
                          <w:color w:val="000000"/>
                          <w:kern w:val="0"/>
                          <w:sz w:val="28"/>
                          <w:szCs w:val="28"/>
                          <w:lang w:val="en-US" w:eastAsia="zh-CN" w:bidi="ar"/>
                        </w:rPr>
                        <w:t xml:space="preserve">邮箱： </w:t>
                      </w:r>
                      <w:r>
                        <w:rPr>
                          <w:rFonts w:hint="eastAsia" w:ascii="黑体" w:hAnsi="黑体" w:eastAsia="黑体" w:cs="黑体"/>
                          <w:color w:val="000000"/>
                          <w:kern w:val="0"/>
                          <w:sz w:val="28"/>
                          <w:szCs w:val="28"/>
                          <w:lang w:val="en-US" w:eastAsia="zh-CN" w:bidi="ar"/>
                        </w:rPr>
                        <w:t xml:space="preserve">       yjy@sy-seri.org.cn </w:t>
                      </w:r>
                    </w:p>
                    <w:p w14:paraId="701F74FE">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hint="eastAsia" w:ascii="黑体" w:hAnsi="黑体" w:eastAsia="黑体" w:cs="黑体"/>
                          <w:color w:val="000000"/>
                          <w:kern w:val="0"/>
                          <w:sz w:val="28"/>
                          <w:szCs w:val="28"/>
                          <w:lang w:val="en-US" w:eastAsia="zh-CN" w:bidi="ar"/>
                        </w:rPr>
                      </w:pPr>
                      <w:r>
                        <w:rPr>
                          <w:rFonts w:hint="eastAsia" w:ascii="黑体" w:hAnsi="黑体" w:eastAsia="黑体" w:cs="黑体"/>
                          <w:b/>
                          <w:bCs/>
                          <w:color w:val="000000"/>
                          <w:kern w:val="0"/>
                          <w:sz w:val="28"/>
                          <w:szCs w:val="28"/>
                          <w:lang w:val="en-US" w:eastAsia="zh-CN" w:bidi="ar"/>
                        </w:rPr>
                        <w:t>网站地址：</w:t>
                      </w:r>
                      <w:r>
                        <w:rPr>
                          <w:rFonts w:hint="eastAsia" w:ascii="黑体" w:hAnsi="黑体" w:eastAsia="黑体" w:cs="黑体"/>
                          <w:color w:val="000000"/>
                          <w:kern w:val="0"/>
                          <w:sz w:val="28"/>
                          <w:szCs w:val="28"/>
                          <w:lang w:val="en-US" w:eastAsia="zh-CN" w:bidi="ar"/>
                        </w:rPr>
                        <w:t xml:space="preserve">    https://www.sanyaed.org.cn/</w:t>
                      </w:r>
                    </w:p>
                    <w:p w14:paraId="40BB004A">
                      <w:pPr>
                        <w:keepNext w:val="0"/>
                        <w:keepLines w:val="0"/>
                        <w:pageBreakBefore w:val="0"/>
                        <w:widowControl/>
                        <w:suppressLineNumbers w:val="0"/>
                        <w:kinsoku/>
                        <w:wordWrap/>
                        <w:overflowPunct/>
                        <w:topLinePunct w:val="0"/>
                        <w:bidi w:val="0"/>
                        <w:adjustRightInd/>
                        <w:snapToGrid/>
                        <w:spacing w:line="360" w:lineRule="auto"/>
                        <w:ind w:left="1960" w:hanging="1968" w:hangingChars="700"/>
                        <w:jc w:val="left"/>
                        <w:textAlignment w:val="auto"/>
                        <w:rPr>
                          <w:rFonts w:hint="eastAsia" w:ascii="黑体" w:hAnsi="黑体" w:eastAsia="黑体" w:cs="黑体"/>
                          <w:sz w:val="32"/>
                          <w:szCs w:val="40"/>
                        </w:rPr>
                      </w:pPr>
                      <w:r>
                        <w:rPr>
                          <w:rFonts w:hint="eastAsia" w:ascii="黑体" w:hAnsi="黑体" w:eastAsia="黑体" w:cs="黑体"/>
                          <w:b/>
                          <w:bCs/>
                          <w:color w:val="000000"/>
                          <w:kern w:val="0"/>
                          <w:sz w:val="28"/>
                          <w:szCs w:val="28"/>
                          <w:lang w:val="en-US" w:eastAsia="zh-CN" w:bidi="ar"/>
                        </w:rPr>
                        <w:t>办公地址：</w:t>
                      </w:r>
                      <w:r>
                        <w:rPr>
                          <w:rFonts w:hint="eastAsia" w:ascii="黑体" w:hAnsi="黑体" w:eastAsia="黑体" w:cs="黑体"/>
                          <w:color w:val="000000"/>
                          <w:kern w:val="0"/>
                          <w:sz w:val="28"/>
                          <w:szCs w:val="28"/>
                          <w:lang w:val="en-US" w:eastAsia="zh-CN" w:bidi="ar"/>
                        </w:rPr>
                        <w:t xml:space="preserve">    海南省三亚市吉阳区迎宾路阳光金融广场 19 楼 </w:t>
                      </w:r>
                    </w:p>
                    <w:p w14:paraId="4C81DBCD">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hint="eastAsia" w:ascii="黑体" w:hAnsi="黑体" w:eastAsia="黑体" w:cs="黑体"/>
                          <w:color w:val="000000"/>
                          <w:kern w:val="0"/>
                          <w:sz w:val="28"/>
                          <w:szCs w:val="28"/>
                          <w:lang w:val="en-US" w:eastAsia="zh-CN" w:bidi="ar"/>
                        </w:rPr>
                      </w:pPr>
                    </w:p>
                    <w:p w14:paraId="60246408">
                      <w:pPr>
                        <w:keepNext w:val="0"/>
                        <w:keepLines w:val="0"/>
                        <w:pageBreakBefore w:val="0"/>
                        <w:kinsoku/>
                        <w:wordWrap/>
                        <w:overflowPunct/>
                        <w:topLinePunct w:val="0"/>
                        <w:bidi w:val="0"/>
                        <w:adjustRightInd/>
                        <w:snapToGrid/>
                        <w:spacing w:line="360" w:lineRule="auto"/>
                        <w:textAlignment w:val="auto"/>
                        <w:rPr>
                          <w:rFonts w:hint="eastAsia" w:ascii="黑体" w:hAnsi="黑体" w:eastAsia="黑体" w:cs="黑体"/>
                        </w:rPr>
                      </w:pPr>
                    </w:p>
                  </w:txbxContent>
                </v:textbox>
              </v:shape>
            </w:pict>
          </mc:Fallback>
        </mc:AlternateContent>
      </w:r>
      <w:r>
        <w:drawing>
          <wp:anchor distT="0" distB="0" distL="114300" distR="114300" simplePos="0" relativeHeight="251696128" behindDoc="0" locked="0" layoutInCell="1" allowOverlap="1">
            <wp:simplePos x="0" y="0"/>
            <wp:positionH relativeFrom="column">
              <wp:posOffset>2311400</wp:posOffset>
            </wp:positionH>
            <wp:positionV relativeFrom="page">
              <wp:posOffset>574675</wp:posOffset>
            </wp:positionV>
            <wp:extent cx="2952750" cy="2314575"/>
            <wp:effectExtent l="0" t="0" r="0" b="9525"/>
            <wp:wrapNone/>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2"/>
                    <a:stretch>
                      <a:fillRect/>
                    </a:stretch>
                  </pic:blipFill>
                  <pic:spPr>
                    <a:xfrm>
                      <a:off x="0" y="0"/>
                      <a:ext cx="2952750" cy="2314575"/>
                    </a:xfrm>
                    <a:prstGeom prst="rect">
                      <a:avLst/>
                    </a:prstGeom>
                    <a:noFill/>
                    <a:ln>
                      <a:noFill/>
                    </a:ln>
                  </pic:spPr>
                </pic:pic>
              </a:graphicData>
            </a:graphic>
          </wp:anchor>
        </w:drawing>
      </w:r>
      <w:r>
        <w:rPr>
          <w:sz w:val="21"/>
        </w:rPr>
        <mc:AlternateContent>
          <mc:Choice Requires="wps">
            <w:drawing>
              <wp:anchor distT="0" distB="0" distL="114300" distR="114300" simplePos="0" relativeHeight="251678720" behindDoc="1" locked="0" layoutInCell="1" allowOverlap="1">
                <wp:simplePos x="0" y="0"/>
                <wp:positionH relativeFrom="column">
                  <wp:posOffset>1029335</wp:posOffset>
                </wp:positionH>
                <wp:positionV relativeFrom="page">
                  <wp:posOffset>4667250</wp:posOffset>
                </wp:positionV>
                <wp:extent cx="6028055" cy="6533515"/>
                <wp:effectExtent l="0" t="0" r="575310" b="0"/>
                <wp:wrapNone/>
                <wp:docPr id="23" name="任意多边形 8"/>
                <wp:cNvGraphicFramePr/>
                <a:graphic xmlns:a="http://schemas.openxmlformats.org/drawingml/2006/main">
                  <a:graphicData uri="http://schemas.microsoft.com/office/word/2010/wordprocessingShape">
                    <wps:wsp>
                      <wps:cNvSpPr/>
                      <wps:spPr>
                        <a:xfrm rot="20520000">
                          <a:off x="0" y="0"/>
                          <a:ext cx="6028055" cy="6533515"/>
                        </a:xfrm>
                        <a:custGeom>
                          <a:avLst/>
                          <a:gdLst/>
                          <a:ahLst/>
                          <a:cxnLst>
                            <a:cxn ang="3">
                              <a:pos x="hc" y="t"/>
                            </a:cxn>
                            <a:cxn ang="cd2">
                              <a:pos x="l" y="vc"/>
                            </a:cxn>
                            <a:cxn ang="cd4">
                              <a:pos x="hc" y="b"/>
                            </a:cxn>
                            <a:cxn ang="0">
                              <a:pos x="r" y="vc"/>
                            </a:cxn>
                          </a:cxnLst>
                          <a:rect l="l" t="t" r="r" b="b"/>
                          <a:pathLst>
                            <a:path w="8827" h="9568">
                              <a:moveTo>
                                <a:pt x="0" y="0"/>
                              </a:moveTo>
                              <a:lnTo>
                                <a:pt x="8" y="17"/>
                              </a:lnTo>
                              <a:cubicBezTo>
                                <a:pt x="1306" y="2956"/>
                                <a:pt x="4030" y="5791"/>
                                <a:pt x="7695" y="7648"/>
                              </a:cubicBezTo>
                              <a:cubicBezTo>
                                <a:pt x="8045" y="7825"/>
                                <a:pt x="8396" y="7990"/>
                                <a:pt x="8748" y="8142"/>
                              </a:cubicBezTo>
                              <a:lnTo>
                                <a:pt x="8827" y="8176"/>
                              </a:lnTo>
                              <a:lnTo>
                                <a:pt x="8375" y="9568"/>
                              </a:lnTo>
                              <a:lnTo>
                                <a:pt x="8292" y="9523"/>
                              </a:lnTo>
                              <a:cubicBezTo>
                                <a:pt x="7761" y="9235"/>
                                <a:pt x="7234" y="8915"/>
                                <a:pt x="6715" y="8565"/>
                              </a:cubicBezTo>
                              <a:cubicBezTo>
                                <a:pt x="3321" y="6275"/>
                                <a:pt x="960" y="3149"/>
                                <a:pt x="1" y="90"/>
                              </a:cubicBezTo>
                              <a:lnTo>
                                <a:pt x="0" y="85"/>
                              </a:lnTo>
                              <a:lnTo>
                                <a:pt x="0" y="0"/>
                              </a:lnTo>
                              <a:close/>
                            </a:path>
                          </a:pathLst>
                        </a:custGeom>
                        <a:gradFill>
                          <a:gsLst>
                            <a:gs pos="0">
                              <a:schemeClr val="accent1">
                                <a:lumMod val="5000"/>
                                <a:lumOff val="95000"/>
                                <a:alpha val="0"/>
                              </a:schemeClr>
                            </a:gs>
                            <a:gs pos="39000">
                              <a:srgbClr val="ECECEC">
                                <a:alpha val="0"/>
                              </a:srgbClr>
                            </a:gs>
                            <a:gs pos="100000">
                              <a:srgbClr val="FDBA74"/>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20864">
                            <w:pPr>
                              <w:jc w:val="center"/>
                            </w:pPr>
                          </w:p>
                        </w:txbxContent>
                      </wps:txbx>
                      <wps:bodyPr vertOverflow="overflow" horzOverflow="overflow" vert="horz" wrap="square" numCol="1" spcCol="0" rtlCol="0" fromWordArt="0" anchor="ctr" anchorCtr="0" forceAA="0" compatLnSpc="1">
                        <a:noAutofit/>
                      </wps:bodyPr>
                    </wps:wsp>
                  </a:graphicData>
                </a:graphic>
              </wp:anchor>
            </w:drawing>
          </mc:Choice>
          <mc:Fallback>
            <w:pict>
              <v:shape id="任意多边形 8" o:spid="_x0000_s1026" o:spt="100" style="position:absolute;left:0pt;margin-left:81.05pt;margin-top:367.5pt;height:514.45pt;width:474.65pt;mso-position-vertical-relative:page;rotation:-1179648f;z-index:-251637760;v-text-anchor:middle;mso-width-relative:page;mso-height-relative:page;" fillcolor="#F7FAFD [180]" filled="t" stroked="f" coordsize="8827,9568" o:gfxdata="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C1BgF12wAAAA0BAAAPAAAAAAAAAAEAIAAAACIAAABkcnMvZG93bnJldi54bWxQSwECFAAU&#10;AAAACACHTuJAa7RbMCgEAACWCQAADgAAAAAAAAABACAAAAAqAQAAZHJzL2Uyb0RvYy54bWxQSwUG&#10;AAAAAAYABgBZAQAAxAcAAAAA&#10;" path="m0,0l8,17c1306,2956,4030,5791,7695,7648c8045,7825,8396,7990,8748,8142l8827,8176,8375,9568,8292,9523c7761,9235,7234,8915,6715,8565c3321,6275,960,3149,1,90l0,85,0,0xe">
                <v:path textboxrect="0,0,8827,9568" o:connectlocs="3014027,0;0,3266757;3014027,6533515;6028055,3266757" o:connectangles="0,164,82,0"/>
                <v:fill type="gradient" on="t" color2="#FDBA74" o:opacity2="0f" colors="0f #F7FAFD;25559f #ECECEC;65536f #FDBA74" focus="100%" focussize="0,0" rotate="t">
                  <o:fill type="gradientUnscaled" v:ext="backwardCompatible"/>
                </v:fill>
                <v:stroke on="f" weight="1pt" miterlimit="8" joinstyle="miter"/>
                <v:imagedata o:title=""/>
                <o:lock v:ext="edit" aspectratio="f"/>
                <v:textbox>
                  <w:txbxContent>
                    <w:p w14:paraId="3C520864">
                      <w:pPr>
                        <w:jc w:val="center"/>
                      </w:pPr>
                    </w:p>
                  </w:txbxContent>
                </v:textbox>
              </v:shape>
            </w:pict>
          </mc:Fallback>
        </mc:AlternateContent>
      </w:r>
      <w:r>
        <mc:AlternateContent>
          <mc:Choice Requires="wps">
            <w:drawing>
              <wp:anchor distT="0" distB="0" distL="114300" distR="114300" simplePos="0" relativeHeight="251677696" behindDoc="1" locked="0" layoutInCell="1" allowOverlap="1">
                <wp:simplePos x="0" y="0"/>
                <wp:positionH relativeFrom="column">
                  <wp:posOffset>-619125</wp:posOffset>
                </wp:positionH>
                <wp:positionV relativeFrom="page">
                  <wp:posOffset>6158230</wp:posOffset>
                </wp:positionV>
                <wp:extent cx="4414520" cy="4340225"/>
                <wp:effectExtent l="0" t="0" r="0" b="274955"/>
                <wp:wrapNone/>
                <wp:docPr id="22" name="任意多边形 7"/>
                <wp:cNvGraphicFramePr/>
                <a:graphic xmlns:a="http://schemas.openxmlformats.org/drawingml/2006/main">
                  <a:graphicData uri="http://schemas.microsoft.com/office/word/2010/wordprocessingShape">
                    <wps:wsp>
                      <wps:cNvSpPr/>
                      <wps:spPr>
                        <a:xfrm rot="960000">
                          <a:off x="0" y="0"/>
                          <a:ext cx="4414520" cy="4340225"/>
                        </a:xfrm>
                        <a:custGeom>
                          <a:avLst/>
                          <a:gdLst/>
                          <a:ahLst/>
                          <a:cxnLst>
                            <a:cxn ang="3">
                              <a:pos x="hc" y="t"/>
                            </a:cxn>
                            <a:cxn ang="cd2">
                              <a:pos x="l" y="vc"/>
                            </a:cxn>
                            <a:cxn ang="cd4">
                              <a:pos x="hc" y="b"/>
                            </a:cxn>
                            <a:cxn ang="0">
                              <a:pos x="r" y="vc"/>
                            </a:cxn>
                          </a:cxnLst>
                          <a:rect l="l" t="t" r="r" b="b"/>
                          <a:pathLst>
                            <a:path w="6564" h="6453">
                              <a:moveTo>
                                <a:pt x="0" y="0"/>
                              </a:moveTo>
                              <a:lnTo>
                                <a:pt x="6" y="13"/>
                              </a:lnTo>
                              <a:cubicBezTo>
                                <a:pt x="1037" y="2260"/>
                                <a:pt x="3200" y="4427"/>
                                <a:pt x="6110" y="5846"/>
                              </a:cubicBezTo>
                              <a:cubicBezTo>
                                <a:pt x="6236" y="5908"/>
                                <a:pt x="6363" y="5967"/>
                                <a:pt x="6490" y="6025"/>
                              </a:cubicBezTo>
                              <a:lnTo>
                                <a:pt x="6564" y="6058"/>
                              </a:lnTo>
                              <a:lnTo>
                                <a:pt x="5189" y="6453"/>
                              </a:lnTo>
                              <a:lnTo>
                                <a:pt x="5082" y="6381"/>
                              </a:lnTo>
                              <a:cubicBezTo>
                                <a:pt x="2521" y="4648"/>
                                <a:pt x="738" y="2334"/>
                                <a:pt x="1" y="69"/>
                              </a:cubicBezTo>
                              <a:lnTo>
                                <a:pt x="0" y="65"/>
                              </a:lnTo>
                              <a:lnTo>
                                <a:pt x="0" y="0"/>
                              </a:lnTo>
                              <a:close/>
                            </a:path>
                          </a:pathLst>
                        </a:custGeom>
                        <a:gradFill>
                          <a:gsLst>
                            <a:gs pos="0">
                              <a:schemeClr val="accent1">
                                <a:lumMod val="5000"/>
                                <a:lumOff val="95000"/>
                                <a:alpha val="0"/>
                              </a:schemeClr>
                            </a:gs>
                            <a:gs pos="39000">
                              <a:srgbClr val="ECECEC">
                                <a:alpha val="0"/>
                              </a:srgbClr>
                            </a:gs>
                            <a:gs pos="100000">
                              <a:srgbClr val="FDBA74"/>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0E995">
                            <w:pPr>
                              <w:jc w:val="center"/>
                            </w:pPr>
                          </w:p>
                        </w:txbxContent>
                      </wps:txbx>
                      <wps:bodyPr vertOverflow="overflow" horzOverflow="overflow" vert="horz" wrap="square" numCol="1" spcCol="0" rtlCol="0" fromWordArt="0" anchor="ctr" anchorCtr="0" forceAA="0" compatLnSpc="1">
                        <a:noAutofit/>
                      </wps:bodyPr>
                    </wps:wsp>
                  </a:graphicData>
                </a:graphic>
              </wp:anchor>
            </w:drawing>
          </mc:Choice>
          <mc:Fallback>
            <w:pict>
              <v:shape id="任意多边形 7" o:spid="_x0000_s1026" o:spt="100" style="position:absolute;left:0pt;margin-left:-48.75pt;margin-top:484.9pt;height:341.75pt;width:347.6pt;mso-position-vertical-relative:page;rotation:1048576f;z-index:-251638784;v-text-anchor:middle;mso-width-relative:page;mso-height-relative:page;" fillcolor="#F7FAFD [180]" filled="t" stroked="f" coordsize="6564,6453" o:gfxdata="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CT4IJ2wAAAAwBAAAPAAAAAAAAAAEAIAAAACIAAABkcnMvZG93bnJl&#10;di54bWxQSwECFAAUAAAACACHTuJAhWH/DvsDAAAsCQAADgAAAAAAAAABACAAAAAqAQAAZHJzL2Uy&#10;b0RvYy54bWxQSwUGAAAAAAYABgBZAQAAlwcAAAAA&#10;" path="m0,0l6,13c1037,2260,3200,4427,6110,5846c6236,5908,6363,5967,6490,6025l6564,6058,5189,6453,5082,6381c2521,4648,738,2334,1,69l0,65,0,0xe">
                <v:path textboxrect="0,0,6564,6453" o:connectlocs="2207260,0;0,2170112;2207260,4340225;4414520,2170112" o:connectangles="0,164,82,0"/>
                <v:fill type="gradient" on="t" color2="#FDBA74" o:opacity2="0f" colors="0f #F7FAFD;25559f #ECECEC;65536f #FDBA74" focus="100%" focussize="0,0" rotate="t">
                  <o:fill type="gradientUnscaled" v:ext="backwardCompatible"/>
                </v:fill>
                <v:stroke on="f" weight="1pt" miterlimit="8" joinstyle="miter"/>
                <v:imagedata o:title=""/>
                <o:lock v:ext="edit" aspectratio="f"/>
                <v:textbox>
                  <w:txbxContent>
                    <w:p w14:paraId="15D0E995">
                      <w:pPr>
                        <w:jc w:val="center"/>
                      </w:pPr>
                    </w:p>
                  </w:txbxContent>
                </v:textbox>
              </v:shape>
            </w:pict>
          </mc:Fallback>
        </mc:AlternateContent>
      </w:r>
      <w:r>
        <w:rPr>
          <w:sz w:val="21"/>
        </w:rPr>
        <mc:AlternateContent>
          <mc:Choice Requires="wps">
            <w:drawing>
              <wp:anchor distT="0" distB="0" distL="114300" distR="114300" simplePos="0" relativeHeight="251676672" behindDoc="1" locked="0" layoutInCell="1" allowOverlap="1">
                <wp:simplePos x="0" y="0"/>
                <wp:positionH relativeFrom="column">
                  <wp:posOffset>230505</wp:posOffset>
                </wp:positionH>
                <wp:positionV relativeFrom="page">
                  <wp:posOffset>5633720</wp:posOffset>
                </wp:positionV>
                <wp:extent cx="7395845" cy="5101590"/>
                <wp:effectExtent l="0" t="0" r="14605" b="3810"/>
                <wp:wrapNone/>
                <wp:docPr id="16" name="任意多边形 3"/>
                <wp:cNvGraphicFramePr/>
                <a:graphic xmlns:a="http://schemas.openxmlformats.org/drawingml/2006/main">
                  <a:graphicData uri="http://schemas.microsoft.com/office/word/2010/wordprocessingShape">
                    <wps:wsp>
                      <wps:cNvSpPr/>
                      <wps:spPr>
                        <a:xfrm>
                          <a:off x="0" y="0"/>
                          <a:ext cx="7395845" cy="5101590"/>
                        </a:xfrm>
                        <a:custGeom>
                          <a:avLst/>
                          <a:gdLst/>
                          <a:ahLst/>
                          <a:cxnLst>
                            <a:cxn ang="3cd4">
                              <a:pos x="hc" y="t"/>
                            </a:cxn>
                            <a:cxn ang="cd2">
                              <a:pos x="l" y="vc"/>
                            </a:cxn>
                            <a:cxn ang="cd4">
                              <a:pos x="hc" y="b"/>
                            </a:cxn>
                            <a:cxn ang="0">
                              <a:pos x="r" y="vc"/>
                            </a:cxn>
                          </a:cxnLst>
                          <a:rect l="l" t="t" r="r" b="b"/>
                          <a:pathLst>
                            <a:path w="10830" h="7471">
                              <a:moveTo>
                                <a:pt x="0" y="0"/>
                              </a:moveTo>
                              <a:lnTo>
                                <a:pt x="6" y="14"/>
                              </a:lnTo>
                              <a:cubicBezTo>
                                <a:pt x="1037" y="2306"/>
                                <a:pt x="3200" y="4516"/>
                                <a:pt x="6110" y="5964"/>
                              </a:cubicBezTo>
                              <a:cubicBezTo>
                                <a:pt x="7677" y="6743"/>
                                <a:pt x="9280" y="7213"/>
                                <a:pt x="10802" y="7389"/>
                              </a:cubicBezTo>
                              <a:lnTo>
                                <a:pt x="10830" y="7392"/>
                              </a:lnTo>
                              <a:lnTo>
                                <a:pt x="10830" y="7471"/>
                              </a:lnTo>
                              <a:lnTo>
                                <a:pt x="6668" y="7471"/>
                              </a:lnTo>
                              <a:lnTo>
                                <a:pt x="6584" y="7426"/>
                              </a:lnTo>
                              <a:cubicBezTo>
                                <a:pt x="6163" y="7201"/>
                                <a:pt x="5744" y="6952"/>
                                <a:pt x="5332" y="6679"/>
                              </a:cubicBezTo>
                              <a:cubicBezTo>
                                <a:pt x="2637" y="4894"/>
                                <a:pt x="762" y="2455"/>
                                <a:pt x="1" y="70"/>
                              </a:cubicBezTo>
                              <a:lnTo>
                                <a:pt x="0" y="66"/>
                              </a:lnTo>
                              <a:lnTo>
                                <a:pt x="0" y="0"/>
                              </a:lnTo>
                              <a:close/>
                            </a:path>
                          </a:pathLst>
                        </a:custGeom>
                        <a:gradFill>
                          <a:gsLst>
                            <a:gs pos="0">
                              <a:schemeClr val="accent1">
                                <a:lumMod val="5000"/>
                                <a:lumOff val="95000"/>
                                <a:alpha val="0"/>
                              </a:schemeClr>
                            </a:gs>
                            <a:gs pos="39000">
                              <a:srgbClr val="ECECEC">
                                <a:alpha val="41000"/>
                              </a:srgbClr>
                            </a:gs>
                            <a:gs pos="100000">
                              <a:srgbClr val="FDBA74"/>
                            </a:gs>
                            <a:gs pos="100000">
                              <a:srgbClr val="DDE5E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E426F">
                            <w:pPr>
                              <w:jc w:val="center"/>
                            </w:pPr>
                          </w:p>
                        </w:txbxContent>
                      </wps:txbx>
                      <wps:bodyPr vertOverflow="overflow" horzOverflow="overflow" vert="horz" wrap="square" numCol="1" spcCol="0" rtlCol="0" fromWordArt="0" anchor="ctr" anchorCtr="0" forceAA="0" compatLnSpc="1">
                        <a:noAutofit/>
                      </wps:bodyPr>
                    </wps:wsp>
                  </a:graphicData>
                </a:graphic>
              </wp:anchor>
            </w:drawing>
          </mc:Choice>
          <mc:Fallback>
            <w:pict>
              <v:shape id="任意多边形 3" o:spid="_x0000_s1026" o:spt="100" style="position:absolute;left:0pt;margin-left:18.15pt;margin-top:443.6pt;height:401.7pt;width:582.35pt;mso-position-vertical-relative:page;z-index:-251639808;v-text-anchor:middle;mso-width-relative:page;mso-height-relative:page;" fillcolor="#F7FAFD [180]" filled="t" stroked="f" coordsize="10830,7471" o:gfxdata="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B6ZNM43AAAAAwBAAAPAAAAAAAAAAEAIAAAACIAAABkcnMvZG93bnJldi54bWxQSwECFAAU&#10;AAAACACHTuJA1YCqoycEAADvCQAADgAAAAAAAAABACAAAAArAQAAZHJzL2Uyb0RvYy54bWxQSwUG&#10;AAAAAAYABgBZAQAAxAcAAAAA&#10;" path="m0,0l6,14c1037,2306,3200,4516,6110,5964c7677,6743,9280,7213,10802,7389l10830,7392,10830,7471,6668,7471,6584,7426c6163,7201,5744,6952,5332,6679c2637,4894,762,2455,1,70l0,66,0,0xe">
                <v:path textboxrect="0,0,10830,7471" o:connectlocs="3697922,0;0,2550795;3697922,5101590;7395845,2550795" o:connectangles="247,164,82,0"/>
                <v:fill type="gradient" on="t" color2="#DDE5EC" o:opacity2="0f" colors="0f #F7FAFD;25559f #ECECEC;65536f #FDBA74;65536f #DDE5EC" focus="100%" focussize="0,0" rotate="t">
                  <o:fill type="gradientUnscaled" v:ext="backwardCompatible"/>
                </v:fill>
                <v:stroke on="f" weight="1pt" miterlimit="8" joinstyle="miter"/>
                <v:imagedata o:title=""/>
                <o:lock v:ext="edit" aspectratio="f"/>
                <v:textbox>
                  <w:txbxContent>
                    <w:p w14:paraId="533E426F">
                      <w:pPr>
                        <w:jc w:val="center"/>
                      </w:pPr>
                    </w:p>
                  </w:txbxContent>
                </v:textbox>
              </v:shape>
            </w:pict>
          </mc:Fallback>
        </mc:AlternateContent>
      </w:r>
    </w:p>
    <w:p w14:paraId="7CBEF4B6">
      <w:pPr>
        <w:ind w:left="5880" w:leftChars="2800" w:firstLine="0" w:firstLineChars="0"/>
        <w:rPr>
          <w:rFonts w:hint="eastAsia"/>
          <w:lang w:val="en-US" w:eastAsia="zh-CN"/>
        </w:rPr>
      </w:pPr>
    </w:p>
    <w:p w14:paraId="384212F0">
      <w:pPr>
        <w:ind w:left="5880" w:leftChars="2800" w:firstLine="0" w:firstLineChars="0"/>
        <w:rPr>
          <w:rFonts w:hint="eastAsia"/>
          <w:lang w:val="en-US" w:eastAsia="zh-CN"/>
        </w:rPr>
      </w:pPr>
    </w:p>
    <w:p w14:paraId="14EE261F">
      <w:pPr>
        <w:rPr>
          <w:sz w:val="21"/>
          <w:lang w:val="en-US" w:eastAsia="zh-CN"/>
        </w:rPr>
      </w:pPr>
    </w:p>
    <w:sectPr>
      <w:pgSz w:w="11906" w:h="16838"/>
      <w:pgMar w:top="0" w:right="0" w:bottom="0" w:left="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363A06-D31A-4719-BA19-C94B7AFAE46C}"/>
  </w:font>
  <w:font w:name="Arial">
    <w:panose1 w:val="020B0604020202020204"/>
    <w:charset w:val="01"/>
    <w:family w:val="swiss"/>
    <w:pitch w:val="default"/>
    <w:sig w:usb0="E0002EFF" w:usb1="C000785B" w:usb2="00000009" w:usb3="00000000" w:csb0="400001FF" w:csb1="FFFF0000"/>
    <w:embedRegular r:id="rId2" w:fontKey="{F4234824-2B87-4D1C-9DD2-72846E0E2C49}"/>
  </w:font>
  <w:font w:name="黑体">
    <w:panose1 w:val="02010609060101010101"/>
    <w:charset w:val="86"/>
    <w:family w:val="auto"/>
    <w:pitch w:val="default"/>
    <w:sig w:usb0="800002BF" w:usb1="38CF7CFA" w:usb2="00000016" w:usb3="00000000" w:csb0="00040001" w:csb1="00000000"/>
    <w:embedRegular r:id="rId3" w:fontKey="{B9AFDB7A-C0F2-4754-9645-61F30DA69639}"/>
  </w:font>
  <w:font w:name="Courier New">
    <w:panose1 w:val="02070309020205020404"/>
    <w:charset w:val="01"/>
    <w:family w:val="modern"/>
    <w:pitch w:val="default"/>
    <w:sig w:usb0="E0002EFF" w:usb1="C0007843" w:usb2="00000009" w:usb3="00000000" w:csb0="400001FF" w:csb1="FFFF0000"/>
    <w:embedRegular r:id="rId4" w:fontKey="{30F21EA8-7CF6-4F9D-B1AE-52564D0F639F}"/>
  </w:font>
  <w:font w:name="Symbol">
    <w:panose1 w:val="05050102010706020507"/>
    <w:charset w:val="02"/>
    <w:family w:val="roman"/>
    <w:pitch w:val="default"/>
    <w:sig w:usb0="00000000" w:usb1="00000000" w:usb2="00000000" w:usb3="00000000" w:csb0="80000000" w:csb1="00000000"/>
    <w:embedRegular r:id="rId5" w:fontKey="{039838A4-0D67-4459-9C12-362C3B4D6EC3}"/>
  </w:font>
  <w:font w:name="Calibri">
    <w:panose1 w:val="020F0502020204030204"/>
    <w:charset w:val="00"/>
    <w:family w:val="swiss"/>
    <w:pitch w:val="default"/>
    <w:sig w:usb0="E4002EFF" w:usb1="C200247B" w:usb2="00000009" w:usb3="00000000" w:csb0="200001FF" w:csb1="00000000"/>
    <w:embedRegular r:id="rId6" w:fontKey="{710FB002-B03D-4875-9B2E-2B218864DD4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7" w:fontKey="{274C2DC3-9203-4910-AAE6-B63B9173B6AB}"/>
  </w:font>
  <w:font w:name="汉仪大黑简">
    <w:panose1 w:val="02010600000101010101"/>
    <w:charset w:val="86"/>
    <w:family w:val="auto"/>
    <w:pitch w:val="default"/>
    <w:sig w:usb0="00000001" w:usb1="080E0800" w:usb2="00000002" w:usb3="00000000" w:csb0="00040000" w:csb1="00000000"/>
    <w:embedRegular r:id="rId8" w:fontKey="{3A9CF596-DB38-439E-814E-A8F009405CC6}"/>
  </w:font>
  <w:font w:name="汉仪行楷简">
    <w:panose1 w:val="02010600000101010101"/>
    <w:charset w:val="86"/>
    <w:family w:val="auto"/>
    <w:pitch w:val="default"/>
    <w:sig w:usb0="00000001" w:usb1="080E0800" w:usb2="00000002" w:usb3="00000000" w:csb0="00040000" w:csb1="00000000"/>
    <w:embedRegular r:id="rId9" w:fontKey="{515F9C55-5DE5-40A5-BC5C-84815680152F}"/>
  </w:font>
  <w:font w:name="汉仪书宋一简">
    <w:panose1 w:val="02010600000101010101"/>
    <w:charset w:val="86"/>
    <w:family w:val="auto"/>
    <w:pitch w:val="default"/>
    <w:sig w:usb0="00000001" w:usb1="080E0800" w:usb2="00000002" w:usb3="00000000" w:csb0="00040000" w:csb1="00000000"/>
    <w:embedRegular r:id="rId10" w:fontKey="{6254B6D3-6F00-4F70-882C-96CA9E30B2CC}"/>
  </w:font>
  <w:font w:name="方正大黑简体">
    <w:panose1 w:val="02000000000000000000"/>
    <w:charset w:val="86"/>
    <w:family w:val="auto"/>
    <w:pitch w:val="default"/>
    <w:sig w:usb0="A00002BF" w:usb1="184F6CFA" w:usb2="00000012" w:usb3="00000000" w:csb0="00040001" w:csb1="00000000"/>
    <w:embedRegular r:id="rId11" w:fontKey="{90E312CD-E8D4-4E81-9B38-6F9367A52701}"/>
  </w:font>
  <w:font w:name="汉仪长宋简">
    <w:panose1 w:val="02010600000101010101"/>
    <w:charset w:val="86"/>
    <w:family w:val="auto"/>
    <w:pitch w:val="default"/>
    <w:sig w:usb0="00000001" w:usb1="080E0800" w:usb2="00000002" w:usb3="00000000" w:csb0="00040000" w:csb1="00000000"/>
    <w:embedRegular r:id="rId12" w:fontKey="{74C58AD9-9BE1-4F71-9560-55D2560B9BE2}"/>
  </w:font>
  <w:font w:name="方正小标宋简体">
    <w:panose1 w:val="02000000000000000000"/>
    <w:charset w:val="86"/>
    <w:family w:val="auto"/>
    <w:pitch w:val="default"/>
    <w:sig w:usb0="00000001" w:usb1="08000000" w:usb2="00000000" w:usb3="00000000" w:csb0="00040000" w:csb1="00000000"/>
    <w:embedRegular r:id="rId13" w:fontKey="{A18569ED-337B-4FCD-8802-0BB1BE7B7EEB}"/>
  </w:font>
  <w:font w:name="仿宋_GB2312">
    <w:panose1 w:val="02010609030101010101"/>
    <w:charset w:val="86"/>
    <w:family w:val="auto"/>
    <w:pitch w:val="default"/>
    <w:sig w:usb0="00000001" w:usb1="080E0000" w:usb2="00000000" w:usb3="00000000" w:csb0="00040000" w:csb1="00000000"/>
    <w:embedRegular r:id="rId14" w:fontKey="{5B868C00-A253-49F4-B3DC-5FAF995B2BF5}"/>
  </w:font>
  <w:font w:name="楷体_GB2312">
    <w:panose1 w:val="02010609030101010101"/>
    <w:charset w:val="86"/>
    <w:family w:val="auto"/>
    <w:pitch w:val="default"/>
    <w:sig w:usb0="00000001" w:usb1="080E0000" w:usb2="00000000" w:usb3="00000000" w:csb0="00040000" w:csb1="00000000"/>
    <w:embedRegular r:id="rId15" w:fontKey="{056292F4-1DFF-48BD-9A64-DB2014088FC1}"/>
  </w:font>
  <w:font w:name="WPSEMBED7">
    <w:panose1 w:val="02010600000101010101"/>
    <w:charset w:val="86"/>
    <w:family w:val="auto"/>
    <w:pitch w:val="default"/>
    <w:sig w:usb0="00000001" w:usb1="080E0800" w:usb2="00000002" w:usb3="00000000" w:csb0="00040000" w:csb1="00000000"/>
  </w:font>
  <w:font w:name="WPSEMBED6">
    <w:panose1 w:val="02010600000101010101"/>
    <w:charset w:val="86"/>
    <w:family w:val="auto"/>
    <w:pitch w:val="default"/>
    <w:sig w:usb0="00000001" w:usb1="080E0800" w:usb2="00000002" w:usb3="00000000" w:csb0="00040000" w:csb1="00000000"/>
  </w:font>
  <w:font w:name="WPSEMBED9">
    <w:panose1 w:val="02000000000000000000"/>
    <w:charset w:val="86"/>
    <w:family w:val="auto"/>
    <w:pitch w:val="default"/>
    <w:sig w:usb0="A00002BF" w:usb1="184F6CFA" w:usb2="00000012" w:usb3="00000000" w:csb0="00040001" w:csb1="00000000"/>
  </w:font>
  <w:font w:name="WPSEMBED8">
    <w:panose1 w:val="02010600000101010101"/>
    <w:charset w:val="86"/>
    <w:family w:val="auto"/>
    <w:pitch w:val="default"/>
    <w:sig w:usb0="00000001" w:usb1="080E0800" w:usb2="00000002" w:usb3="00000000" w:csb0="00040000" w:csb1="00000000"/>
  </w:font>
  <w:font w:name="WPSEMBED10">
    <w:panose1 w:val="02010600000101010101"/>
    <w:charset w:val="86"/>
    <w:family w:val="auto"/>
    <w:pitch w:val="default"/>
    <w:sig w:usb0="00000001" w:usb1="080E0800" w:usb2="00000002"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D337D">
    <w:pPr>
      <w:pStyle w:val="2"/>
      <w:tabs>
        <w:tab w:val="center" w:pos="4873"/>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posOffset>3181350</wp:posOffset>
              </wp:positionH>
              <wp:positionV relativeFrom="paragraph">
                <wp:posOffset>0</wp:posOffset>
              </wp:positionV>
              <wp:extent cx="325120" cy="1676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325120" cy="167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3C0B0">
                          <w:pPr>
                            <w:pStyle w:val="2"/>
                            <w:rPr>
                              <w:rFonts w:hint="eastAsia" w:eastAsiaTheme="minorEastAsia"/>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0.5pt;margin-top:0pt;height:13.2pt;width:25.6pt;mso-position-horizontal-relative:margin;z-index:251659264;mso-width-relative:page;mso-height-relative:page;" filled="f" stroked="f" coordsize="21600,21600" o:gfxdata="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XJWu1wAAAAcBAAAPAAAAAAAAAAEAIAAAACIAAABkcnMvZG93bnJl&#10;di54bWxQSwECFAAUAAAACACHTuJAQbYFoDcCAABhBAAADgAAAAAAAAABACAAAAAmAQAAZHJzL2Uy&#10;b0RvYy54bWxQSwUGAAAAAAYABgBZAQAAzwUAAAAA&#10;">
              <v:fill on="f" focussize="0,0"/>
              <v:stroke on="f" weight="0.5pt"/>
              <v:imagedata o:title=""/>
              <o:lock v:ext="edit" aspectratio="f"/>
              <v:textbox inset="0mm,0mm,0mm,0mm">
                <w:txbxContent>
                  <w:p w14:paraId="4443C0B0">
                    <w:pPr>
                      <w:pStyle w:val="2"/>
                      <w:rPr>
                        <w:rFonts w:hint="eastAsia" w:eastAsiaTheme="minorEastAsia"/>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35F9D">
    <w:pPr>
      <w:pStyle w:val="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FF386">
                          <w:pPr>
                            <w:pStyle w:val="2"/>
                            <w:rPr>
                              <w:rFonts w:hint="eastAsia"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80FF386">
                    <w:pPr>
                      <w:pStyle w:val="2"/>
                      <w:rPr>
                        <w:rFonts w:hint="eastAsia" w:eastAsiaTheme="minorEastAsia"/>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B929F">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991F9">
                          <w:pPr>
                            <w:pStyle w:val="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AB991F9">
                    <w:pPr>
                      <w:pStyle w:val="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60AF5A">
                          <w:pPr>
                            <w:pStyle w:val="2"/>
                            <w:rPr>
                              <w:rFonts w:hint="eastAsia" w:eastAsiaTheme="minorEastAsia"/>
                              <w:lang w:val="en-US" w:eastAsia="zh-CN"/>
                            </w:rPr>
                          </w:pPr>
                          <w:r>
                            <w:rPr>
                              <w:rFonts w:hint="eastAsia"/>
                              <w:lang w:val="en-US" w:eastAsia="zh-CN"/>
                            </w:rPr>
                            <w:t>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560AF5A">
                    <w:pPr>
                      <w:pStyle w:val="2"/>
                      <w:rPr>
                        <w:rFonts w:hint="eastAsia" w:eastAsiaTheme="minorEastAsia"/>
                        <w:lang w:val="en-US" w:eastAsia="zh-CN"/>
                      </w:rPr>
                    </w:pPr>
                    <w:r>
                      <w:rPr>
                        <w:rFonts w:hint="eastAsia"/>
                        <w:lang w:val="en-US" w:eastAsia="zh-CN"/>
                      </w:rPr>
                      <w:t>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18413">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132CD5"/>
    <w:rsid w:val="0A9916D2"/>
    <w:rsid w:val="0C644E4A"/>
    <w:rsid w:val="160679F0"/>
    <w:rsid w:val="1FD91AA0"/>
    <w:rsid w:val="2E690CFD"/>
    <w:rsid w:val="362C46A4"/>
    <w:rsid w:val="3BF7553E"/>
    <w:rsid w:val="3C8E1AA4"/>
    <w:rsid w:val="413A2E44"/>
    <w:rsid w:val="421C099C"/>
    <w:rsid w:val="4B9E27DF"/>
    <w:rsid w:val="4F2A0EED"/>
    <w:rsid w:val="4FA9741D"/>
    <w:rsid w:val="53132CD5"/>
    <w:rsid w:val="5D9A6BF8"/>
    <w:rsid w:val="5F9A1841"/>
    <w:rsid w:val="635350C6"/>
    <w:rsid w:val="654A48D9"/>
    <w:rsid w:val="66383133"/>
    <w:rsid w:val="776F0565"/>
    <w:rsid w:val="798F0D8E"/>
    <w:rsid w:val="799D6D19"/>
    <w:rsid w:val="7C9E6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toc 2"/>
    <w:basedOn w:val="1"/>
    <w:next w:val="1"/>
    <w:uiPriority w:val="0"/>
    <w:pPr>
      <w:ind w:left="420" w:leftChars="200"/>
    </w:pPr>
  </w:style>
  <w:style w:type="paragraph" w:styleId="6">
    <w:name w:val="Normal (Web)"/>
    <w:basedOn w:val="1"/>
    <w:qFormat/>
    <w:uiPriority w:val="0"/>
    <w:rPr>
      <w:sz w:val="24"/>
    </w:rPr>
  </w:style>
  <w:style w:type="paragraph" w:customStyle="1" w:styleId="9">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office6\templates\download\c3d9aa91-429f-4985-99b8-3a2cac52f725\&#21830;&#19994;&#35745;&#21010;&#20070;&#21830;&#21153;&#25253;&#21578;&#23553;&#3875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tags>
    <s:tag s:spid="_x0000_s1026">
      <s:item s:name="KSO_DOCER_RESOURCE_TRACE_INFO" s:val="{&quot;id&quot;:&quot;25037510&quot;,&quot;origin&quot;:0,&quot;type&quot;:&quot;wordart&quot;,&quot;user&quot;:&quot;596750968&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商业计划书商务报告封面.docx</Template>
  <Company>吉阳区</Company>
  <Pages>197</Pages>
  <Words>18613</Words>
  <Characters>18918</Characters>
  <Lines>0</Lines>
  <Paragraphs>0</Paragraphs>
  <TotalTime>0</TotalTime>
  <ScaleCrop>false</ScaleCrop>
  <LinksUpToDate>false</LinksUpToDate>
  <CharactersWithSpaces>19409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2025-11-13T02:31:00Z</dcterms:created>
  <dc:creator>田天娥</dc:creator>
  <cp:lastModifiedBy>南夕</cp:lastModifiedBy>
  <dcterms:modified xsi:type="dcterms:W3CDTF">2026-01-20T03:25:38Z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SaveFontToCloudKey">
    <vt:lpwstr>554163770_embed</vt:lpwstr>
  </property>
  <property fmtid="{D5CDD505-2E9C-101B-9397-08002B2CF9AE}" pid="4" name="ICV">
    <vt:lpwstr>B3CCAF8D8A884FAC86D58A522A14714F_13</vt:lpwstr>
  </property>
  <property fmtid="{D5CDD505-2E9C-101B-9397-08002B2CF9AE}" pid="5" name="KSOTemplateUUID">
    <vt:lpwstr>v1.0_mb_DAM1u2rpEOk4ISdCGSjZ6g==</vt:lpwstr>
  </property>
  <property fmtid="{D5CDD505-2E9C-101B-9397-08002B2CF9AE}" pid="6" name="KSOTemplateDocerSaveRecord">
    <vt:lpwstr>eyJoZGlkIjoiMTk2YjE2YzYxNmNlYTI5OWQ5NzgyNWU1Yzk2ZTI0ZTIiLCJ1c2VySWQiOiIxMDAwOTI0NzAwIn0=</vt:lpwstr>
  </property>
</Properties>
</file>